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6D6DC" w14:textId="77777777" w:rsidR="00274091" w:rsidRDefault="00274091"/>
    <w:p w14:paraId="5C7D8F63" w14:textId="77777777" w:rsidR="006A0F37" w:rsidRPr="00960CDE" w:rsidRDefault="006A0F37" w:rsidP="008113E7">
      <w:pPr>
        <w:jc w:val="both"/>
        <w:rPr>
          <w:rFonts w:ascii="Calibri" w:hAnsi="Calibri"/>
          <w:sz w:val="22"/>
          <w:szCs w:val="22"/>
        </w:rPr>
        <w:sectPr w:rsidR="006A0F37" w:rsidRPr="00960CDE" w:rsidSect="00EA3AF8">
          <w:headerReference w:type="default" r:id="rId7"/>
          <w:footerReference w:type="default" r:id="rId8"/>
          <w:type w:val="continuous"/>
          <w:pgSz w:w="11907" w:h="16840"/>
          <w:pgMar w:top="142" w:right="567" w:bottom="567" w:left="567" w:header="708" w:footer="708" w:gutter="0"/>
          <w:cols w:space="708"/>
        </w:sect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D50FC4" w:rsidRPr="007C1126" w14:paraId="49E9D9BC" w14:textId="77777777" w:rsidTr="006350FC">
        <w:trPr>
          <w:trHeight w:val="2444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FFFF99"/>
          </w:tcPr>
          <w:p w14:paraId="5779057C" w14:textId="3CED1F90" w:rsidR="00225A7F" w:rsidRDefault="00ED422C" w:rsidP="003B3C26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Nyt ansigt</w:t>
            </w:r>
            <w:r w:rsidR="00877EB6">
              <w:rPr>
                <w:rFonts w:ascii="Calibri" w:hAnsi="Calibri"/>
                <w:b/>
                <w:bCs/>
                <w:sz w:val="32"/>
                <w:szCs w:val="32"/>
              </w:rPr>
              <w:t xml:space="preserve"> </w:t>
            </w:r>
            <w:r w:rsidR="003B3C26">
              <w:rPr>
                <w:rFonts w:ascii="Calibri" w:hAnsi="Calibri"/>
                <w:b/>
                <w:bCs/>
                <w:sz w:val="32"/>
                <w:szCs w:val="32"/>
              </w:rPr>
              <w:t>i Center for Ledelse og Strategi</w:t>
            </w:r>
          </w:p>
          <w:p w14:paraId="11AA5287" w14:textId="779F7F8C" w:rsidR="003B3C26" w:rsidRPr="003B3C26" w:rsidRDefault="004439B6" w:rsidP="003B3C26">
            <w:pPr>
              <w:rPr>
                <w:rFonts w:ascii="Calibri" w:hAnsi="Calibri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B3FADE0" wp14:editId="6C8BDE8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72390</wp:posOffset>
                  </wp:positionV>
                  <wp:extent cx="1643380" cy="1616075"/>
                  <wp:effectExtent l="0" t="0" r="0" b="3175"/>
                  <wp:wrapTight wrapText="bothSides">
                    <wp:wrapPolygon edited="0">
                      <wp:start x="0" y="0"/>
                      <wp:lineTo x="0" y="21388"/>
                      <wp:lineTo x="21283" y="21388"/>
                      <wp:lineTo x="21283" y="0"/>
                      <wp:lineTo x="0" y="0"/>
                    </wp:wrapPolygon>
                  </wp:wrapTight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250"/>
                          <a:stretch/>
                        </pic:blipFill>
                        <pic:spPr bwMode="auto">
                          <a:xfrm>
                            <a:off x="0" y="0"/>
                            <a:ext cx="1643380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3C26" w:rsidRPr="003B3C26">
              <w:rPr>
                <w:rFonts w:ascii="Calibri" w:hAnsi="Calibri"/>
                <w:szCs w:val="24"/>
              </w:rPr>
              <w:t xml:space="preserve">Erik Meistrup-Larsen er pr. 1/8 ansat som vores nye </w:t>
            </w:r>
            <w:r w:rsidR="00321E18">
              <w:rPr>
                <w:rFonts w:ascii="Calibri" w:hAnsi="Calibri"/>
                <w:szCs w:val="24"/>
              </w:rPr>
              <w:t>chef</w:t>
            </w:r>
            <w:r w:rsidR="003B3C26" w:rsidRPr="003B3C26">
              <w:rPr>
                <w:rFonts w:ascii="Calibri" w:hAnsi="Calibri"/>
                <w:szCs w:val="24"/>
              </w:rPr>
              <w:t xml:space="preserve">jurist. </w:t>
            </w:r>
          </w:p>
          <w:p w14:paraId="4E2CD165" w14:textId="77777777" w:rsidR="003B3C26" w:rsidRPr="003B3C26" w:rsidRDefault="003B3C26" w:rsidP="003B3C26">
            <w:pPr>
              <w:rPr>
                <w:rFonts w:ascii="Calibri" w:hAnsi="Calibri"/>
                <w:szCs w:val="24"/>
              </w:rPr>
            </w:pPr>
            <w:r w:rsidRPr="003B3C26">
              <w:rPr>
                <w:rFonts w:ascii="Calibri" w:hAnsi="Calibri"/>
                <w:szCs w:val="24"/>
              </w:rPr>
              <w:t>Erik er en erfaren herre med tyve års erfaring som sagsbehandler og leder i staten og flere kommuner med speciale i offentligretlige forhold. Herunder cirka 10 års erfaring med faglig ledelse som chefjurist i centraladministrationen og 2 byrådssekretariater.</w:t>
            </w:r>
          </w:p>
          <w:p w14:paraId="2869ED0E" w14:textId="77777777" w:rsidR="003B3C26" w:rsidRPr="003B3C26" w:rsidRDefault="003B3C26" w:rsidP="003B3C26">
            <w:pPr>
              <w:rPr>
                <w:rFonts w:ascii="Calibri" w:hAnsi="Calibri"/>
                <w:szCs w:val="24"/>
              </w:rPr>
            </w:pPr>
          </w:p>
          <w:p w14:paraId="02B7F201" w14:textId="77777777" w:rsidR="003B3C26" w:rsidRPr="003B3C26" w:rsidRDefault="003B3C26" w:rsidP="003B3C26">
            <w:pPr>
              <w:rPr>
                <w:rFonts w:ascii="Calibri" w:hAnsi="Calibri"/>
                <w:szCs w:val="24"/>
              </w:rPr>
            </w:pPr>
            <w:r w:rsidRPr="003B3C26">
              <w:rPr>
                <w:rFonts w:ascii="Calibri" w:hAnsi="Calibri"/>
                <w:szCs w:val="24"/>
              </w:rPr>
              <w:t>Blandt kommunerne Erik har arbejdet i er: Tårnby, Gribskov, Odsherred og Holbæk. Her har han haft det faglige ansvar</w:t>
            </w:r>
            <w:r w:rsidR="00AC5A99">
              <w:rPr>
                <w:rFonts w:ascii="Calibri" w:hAnsi="Calibri"/>
                <w:szCs w:val="24"/>
              </w:rPr>
              <w:t>,</w:t>
            </w:r>
            <w:r w:rsidRPr="003B3C26">
              <w:rPr>
                <w:rFonts w:ascii="Calibri" w:hAnsi="Calibri"/>
                <w:szCs w:val="24"/>
              </w:rPr>
              <w:t xml:space="preserve"> og er fortrolig med en række forskellige kommunale forretningsområder. Bl.a. (klage-) sagsbehandling af fagligt tunge sager.  </w:t>
            </w:r>
          </w:p>
          <w:p w14:paraId="65CBC184" w14:textId="77777777" w:rsidR="003B3C26" w:rsidRPr="003B3C26" w:rsidRDefault="003B3C26" w:rsidP="003B3C26">
            <w:pPr>
              <w:rPr>
                <w:rFonts w:ascii="Calibri" w:hAnsi="Calibri"/>
                <w:szCs w:val="24"/>
              </w:rPr>
            </w:pPr>
          </w:p>
          <w:p w14:paraId="54CBC4CA" w14:textId="77777777" w:rsidR="003B3C26" w:rsidRPr="003B3C26" w:rsidRDefault="003B3C26" w:rsidP="003B3C26">
            <w:pPr>
              <w:rPr>
                <w:rFonts w:ascii="Calibri" w:hAnsi="Calibri"/>
                <w:szCs w:val="24"/>
              </w:rPr>
            </w:pPr>
            <w:r w:rsidRPr="003B3C26">
              <w:rPr>
                <w:rFonts w:ascii="Calibri" w:hAnsi="Calibri"/>
                <w:szCs w:val="24"/>
              </w:rPr>
              <w:t>Erik kommer nu fra en stilling som chefjurist i Rigsarkivet, hvor han også har varetaget det faglige ledelsesansvar, hvor opgaverne har været koncentreret om forvaltningsret, datasikkerhed og arkivloven.</w:t>
            </w:r>
          </w:p>
          <w:p w14:paraId="28495014" w14:textId="77777777" w:rsidR="003B3C26" w:rsidRPr="003B3C26" w:rsidRDefault="003B3C26" w:rsidP="003B3C26">
            <w:pPr>
              <w:rPr>
                <w:rFonts w:ascii="Calibri" w:hAnsi="Calibri"/>
                <w:szCs w:val="24"/>
              </w:rPr>
            </w:pPr>
            <w:r w:rsidRPr="003B3C26">
              <w:rPr>
                <w:rFonts w:ascii="Calibri" w:hAnsi="Calibri"/>
                <w:szCs w:val="24"/>
              </w:rPr>
              <w:t xml:space="preserve">Med mere end 20 års praktisk erfaring kan vi </w:t>
            </w:r>
            <w:r w:rsidR="00B1661B">
              <w:rPr>
                <w:rFonts w:ascii="Calibri" w:hAnsi="Calibri"/>
                <w:szCs w:val="24"/>
              </w:rPr>
              <w:t>glæde</w:t>
            </w:r>
            <w:r w:rsidRPr="003B3C26">
              <w:rPr>
                <w:rFonts w:ascii="Calibri" w:hAnsi="Calibri"/>
                <w:szCs w:val="24"/>
              </w:rPr>
              <w:t xml:space="preserve"> os til en ny kollega med kvalificeret indsigt i mange forskellige offentligretlige sagsområder, og han vil derfor hurtigt kunne udfylde stillingens kernefunktioner.</w:t>
            </w:r>
          </w:p>
          <w:p w14:paraId="1F91C8D0" w14:textId="77777777" w:rsidR="003B3C26" w:rsidRPr="003B3C26" w:rsidRDefault="003B3C26" w:rsidP="003B3C26">
            <w:pPr>
              <w:rPr>
                <w:rFonts w:ascii="Calibri" w:hAnsi="Calibri"/>
                <w:szCs w:val="24"/>
              </w:rPr>
            </w:pPr>
          </w:p>
          <w:p w14:paraId="36D19A39" w14:textId="77777777" w:rsidR="00877EB6" w:rsidRDefault="003B3C26" w:rsidP="001304E0">
            <w:pPr>
              <w:rPr>
                <w:rFonts w:ascii="Calibri" w:hAnsi="Calibri"/>
                <w:szCs w:val="24"/>
              </w:rPr>
            </w:pPr>
            <w:r w:rsidRPr="003B3C26">
              <w:rPr>
                <w:rFonts w:ascii="Calibri" w:hAnsi="Calibri"/>
                <w:szCs w:val="24"/>
              </w:rPr>
              <w:t>Tag godt imod Erik – vi glæder os til, at han bliver en ny medspiller på vores hold.</w:t>
            </w:r>
          </w:p>
          <w:p w14:paraId="22163B33" w14:textId="77777777" w:rsidR="001304E0" w:rsidRPr="00877EB6" w:rsidRDefault="001304E0" w:rsidP="001304E0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6350FC" w:rsidRPr="007C1126" w14:paraId="60AB82D0" w14:textId="77777777" w:rsidTr="0013694E">
        <w:trPr>
          <w:trHeight w:val="70"/>
        </w:trPr>
        <w:tc>
          <w:tcPr>
            <w:tcW w:w="9355" w:type="dxa"/>
            <w:shd w:val="clear" w:color="auto" w:fill="C2D69B" w:themeFill="accent3" w:themeFillTint="99"/>
          </w:tcPr>
          <w:p w14:paraId="2B52E2B5" w14:textId="77777777" w:rsidR="006350FC" w:rsidRPr="0013694E" w:rsidRDefault="00ED422C" w:rsidP="00464797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13694E">
              <w:rPr>
                <w:rFonts w:ascii="Calibri" w:hAnsi="Calibri"/>
                <w:b/>
                <w:bCs/>
                <w:sz w:val="32"/>
                <w:szCs w:val="32"/>
              </w:rPr>
              <w:t>Tale er sølv, begrænset kommunikation er guld</w:t>
            </w:r>
            <w:r w:rsidR="004359F7" w:rsidRPr="0013694E">
              <w:rPr>
                <w:rFonts w:ascii="Calibri" w:hAnsi="Calibri"/>
                <w:b/>
                <w:bCs/>
                <w:sz w:val="32"/>
                <w:szCs w:val="32"/>
              </w:rPr>
              <w:t xml:space="preserve"> </w:t>
            </w:r>
          </w:p>
          <w:p w14:paraId="25CFF254" w14:textId="77777777" w:rsidR="004359F7" w:rsidRPr="0013694E" w:rsidRDefault="004359F7" w:rsidP="00464797">
            <w:pPr>
              <w:rPr>
                <w:rFonts w:ascii="Calibri" w:hAnsi="Calibri"/>
                <w:b/>
                <w:bCs/>
                <w:szCs w:val="24"/>
              </w:rPr>
            </w:pPr>
            <w:r w:rsidRPr="0013694E">
              <w:rPr>
                <w:rFonts w:ascii="Calibri" w:hAnsi="Calibri"/>
                <w:b/>
                <w:bCs/>
                <w:szCs w:val="24"/>
              </w:rPr>
              <w:t>Hvor mange detaljer må en arbejdsgiver videreformidle om baggrunden for afskedigelse til de øvrige ansatte?</w:t>
            </w:r>
          </w:p>
          <w:p w14:paraId="35903950" w14:textId="77777777" w:rsidR="004359F7" w:rsidRPr="0013694E" w:rsidRDefault="004359F7" w:rsidP="00464797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  <w:p w14:paraId="78F37FC3" w14:textId="77777777" w:rsidR="00ED422C" w:rsidRPr="0013694E" w:rsidRDefault="00ED422C" w:rsidP="00464797">
            <w:pPr>
              <w:rPr>
                <w:rFonts w:ascii="Calibri" w:hAnsi="Calibri"/>
                <w:szCs w:val="24"/>
              </w:rPr>
            </w:pPr>
            <w:r w:rsidRPr="0013694E">
              <w:rPr>
                <w:rFonts w:ascii="Calibri" w:hAnsi="Calibri"/>
                <w:szCs w:val="24"/>
              </w:rPr>
              <w:t xml:space="preserve">Hvor mange detaljer må en arbejdsgiver videreformidle om baggrunden for afskedigelse af en medarbejder til de øvrige ansatte på arbejdspladsen? Det skulle landsretten tage stilling til i en sag, hvor en afskediget medarbejder </w:t>
            </w:r>
            <w:r w:rsidR="00B1661B">
              <w:rPr>
                <w:rFonts w:ascii="Calibri" w:hAnsi="Calibri"/>
                <w:szCs w:val="24"/>
              </w:rPr>
              <w:t>mente</w:t>
            </w:r>
            <w:r w:rsidRPr="0013694E">
              <w:rPr>
                <w:rFonts w:ascii="Calibri" w:hAnsi="Calibri"/>
                <w:szCs w:val="24"/>
              </w:rPr>
              <w:t>, at indholdet af en fælles mail om hendes afskedigelse udgjorde et brud på forvaltningsloven og persondataloven.</w:t>
            </w:r>
          </w:p>
          <w:p w14:paraId="3079438B" w14:textId="77777777" w:rsidR="008F4940" w:rsidRPr="0013694E" w:rsidRDefault="008F4940" w:rsidP="00464797">
            <w:pPr>
              <w:rPr>
                <w:rFonts w:ascii="Calibri" w:hAnsi="Calibri"/>
                <w:szCs w:val="24"/>
              </w:rPr>
            </w:pPr>
          </w:p>
          <w:p w14:paraId="3720EDF5" w14:textId="77777777" w:rsidR="00470664" w:rsidRPr="0013694E" w:rsidRDefault="00470664" w:rsidP="00464797">
            <w:pPr>
              <w:rPr>
                <w:rFonts w:ascii="Calibri" w:hAnsi="Calibri"/>
                <w:szCs w:val="24"/>
              </w:rPr>
            </w:pPr>
            <w:r w:rsidRPr="0013694E">
              <w:rPr>
                <w:rFonts w:ascii="Calibri" w:hAnsi="Calibri"/>
                <w:szCs w:val="24"/>
              </w:rPr>
              <w:t xml:space="preserve">Kort efter afskedigelsen sendte lederen en mail rundt til de øvrige medarbejdere med en orientering om, hvorfor den pågældende medarbejder var blevet afskediget. Bl.a. oplyste lederen, at den pågældende </w:t>
            </w:r>
            <w:r w:rsidR="008F4940" w:rsidRPr="0013694E">
              <w:rPr>
                <w:rFonts w:ascii="Calibri" w:hAnsi="Calibri"/>
                <w:szCs w:val="24"/>
              </w:rPr>
              <w:t>medarbejder,</w:t>
            </w:r>
            <w:r w:rsidRPr="0013694E">
              <w:rPr>
                <w:rFonts w:ascii="Calibri" w:hAnsi="Calibri"/>
                <w:szCs w:val="24"/>
              </w:rPr>
              <w:t xml:space="preserve"> ikke havde løst sine opgaver på tilfredsstillende vis, og at medarbejderen trods hjælp fra ledelsen og kolleger ikke havde formået at løfte opgaven.</w:t>
            </w:r>
          </w:p>
          <w:p w14:paraId="0555AE45" w14:textId="77777777" w:rsidR="008F4940" w:rsidRPr="0013694E" w:rsidRDefault="008F4940" w:rsidP="00464797">
            <w:pPr>
              <w:rPr>
                <w:rFonts w:ascii="Calibri" w:hAnsi="Calibri"/>
                <w:szCs w:val="24"/>
              </w:rPr>
            </w:pPr>
          </w:p>
          <w:p w14:paraId="1EDDC705" w14:textId="70FF6F3E" w:rsidR="001304E0" w:rsidRPr="0013694E" w:rsidRDefault="008F4940" w:rsidP="00464797">
            <w:pPr>
              <w:rPr>
                <w:rFonts w:ascii="Calibri" w:hAnsi="Calibri"/>
                <w:szCs w:val="24"/>
              </w:rPr>
            </w:pPr>
            <w:r w:rsidRPr="0013694E">
              <w:rPr>
                <w:rFonts w:ascii="Calibri" w:hAnsi="Calibri"/>
                <w:szCs w:val="24"/>
              </w:rPr>
              <w:t xml:space="preserve">Landsretten fandt, at oplysninger om baggrunden for afskedigelse af </w:t>
            </w:r>
            <w:r w:rsidR="00AC5A99">
              <w:rPr>
                <w:rFonts w:ascii="Calibri" w:hAnsi="Calibri"/>
                <w:szCs w:val="24"/>
              </w:rPr>
              <w:t>medarbejderen</w:t>
            </w:r>
            <w:r w:rsidRPr="0013694E">
              <w:rPr>
                <w:rFonts w:ascii="Calibri" w:hAnsi="Calibri"/>
                <w:szCs w:val="24"/>
              </w:rPr>
              <w:t xml:space="preserve"> var fortrolig</w:t>
            </w:r>
            <w:r w:rsidR="00AC5A99">
              <w:rPr>
                <w:rFonts w:ascii="Calibri" w:hAnsi="Calibri"/>
                <w:szCs w:val="24"/>
              </w:rPr>
              <w:t>e</w:t>
            </w:r>
            <w:r w:rsidRPr="0013694E">
              <w:rPr>
                <w:rFonts w:ascii="Calibri" w:hAnsi="Calibri"/>
                <w:szCs w:val="24"/>
              </w:rPr>
              <w:t xml:space="preserve"> oplysninger i forvaltningslovens forstand, idet sådanne oplysninger burde kunne unddrages fra andres kendskab. Man fandt også, at selvom arbejdspladsen har en berettiget interesse i at informere de øvrige medarbejdere om</w:t>
            </w:r>
            <w:r w:rsidR="0007607C" w:rsidRPr="0013694E">
              <w:rPr>
                <w:rFonts w:ascii="Calibri" w:hAnsi="Calibri"/>
                <w:szCs w:val="24"/>
              </w:rPr>
              <w:t xml:space="preserve"> </w:t>
            </w:r>
            <w:r w:rsidR="004439B6" w:rsidRPr="0013694E">
              <w:rPr>
                <w:rFonts w:ascii="Calibri" w:hAnsi="Calibri"/>
                <w:szCs w:val="24"/>
              </w:rPr>
              <w:t>fratrædelsen, at</w:t>
            </w:r>
            <w:r w:rsidR="004359F7" w:rsidRPr="0013694E">
              <w:rPr>
                <w:rFonts w:ascii="Calibri" w:hAnsi="Calibri"/>
                <w:szCs w:val="24"/>
              </w:rPr>
              <w:t xml:space="preserve"> det </w:t>
            </w:r>
            <w:r w:rsidR="0007607C" w:rsidRPr="0013694E">
              <w:rPr>
                <w:rFonts w:ascii="Calibri" w:hAnsi="Calibri"/>
                <w:szCs w:val="24"/>
              </w:rPr>
              <w:t xml:space="preserve">ikke </w:t>
            </w:r>
            <w:r w:rsidR="004359F7" w:rsidRPr="0013694E">
              <w:rPr>
                <w:rFonts w:ascii="Calibri" w:hAnsi="Calibri"/>
                <w:szCs w:val="24"/>
              </w:rPr>
              <w:t xml:space="preserve">er </w:t>
            </w:r>
            <w:r w:rsidR="0007607C" w:rsidRPr="0013694E">
              <w:rPr>
                <w:rFonts w:ascii="Calibri" w:hAnsi="Calibri"/>
                <w:szCs w:val="24"/>
              </w:rPr>
              <w:t>nødvendig</w:t>
            </w:r>
            <w:r w:rsidR="004359F7" w:rsidRPr="0013694E">
              <w:rPr>
                <w:rFonts w:ascii="Calibri" w:hAnsi="Calibri"/>
                <w:szCs w:val="24"/>
              </w:rPr>
              <w:t>t med så detaljerede oplysninger om begrundelsen. I en afskedigelsessag vil der være et særligt hensyn at tage til den afskedigede medarbejder.</w:t>
            </w:r>
            <w:r w:rsidR="004439B6">
              <w:rPr>
                <w:rFonts w:ascii="Calibri" w:hAnsi="Calibri"/>
                <w:szCs w:val="24"/>
              </w:rPr>
              <w:t xml:space="preserve"> </w:t>
            </w:r>
          </w:p>
          <w:p w14:paraId="3D28C8C8" w14:textId="77777777" w:rsidR="00470664" w:rsidRPr="00ED422C" w:rsidRDefault="004359F7" w:rsidP="00464797">
            <w:pPr>
              <w:rPr>
                <w:rFonts w:ascii="Calibri" w:hAnsi="Calibri"/>
                <w:szCs w:val="24"/>
              </w:rPr>
            </w:pPr>
            <w:r w:rsidRPr="0013694E">
              <w:rPr>
                <w:rFonts w:ascii="Calibri" w:hAnsi="Calibri"/>
                <w:szCs w:val="24"/>
              </w:rPr>
              <w:t xml:space="preserve">Læs artikler her: </w:t>
            </w:r>
            <w:hyperlink r:id="rId11" w:history="1">
              <w:r w:rsidRPr="0013694E">
                <w:rPr>
                  <w:rStyle w:val="Hyperlink"/>
                  <w:rFonts w:ascii="Calibri" w:hAnsi="Calibri"/>
                  <w:szCs w:val="24"/>
                </w:rPr>
                <w:t>https://norrbomvinding.com/da/viden/nyheder/tale-er-soelv-begraenset-kommunikation-er-guld/</w:t>
              </w:r>
            </w:hyperlink>
          </w:p>
        </w:tc>
      </w:tr>
    </w:tbl>
    <w:p w14:paraId="2EC63D74" w14:textId="77777777" w:rsidR="00E75C0F" w:rsidRDefault="00E75C0F" w:rsidP="00F7036D">
      <w:pPr>
        <w:rPr>
          <w:rFonts w:ascii="Calibri" w:hAnsi="Calibri"/>
          <w:sz w:val="22"/>
          <w:szCs w:val="22"/>
        </w:rPr>
      </w:pPr>
    </w:p>
    <w:p w14:paraId="06306775" w14:textId="77777777" w:rsidR="0013694E" w:rsidRDefault="0013694E" w:rsidP="00F7036D">
      <w:pPr>
        <w:rPr>
          <w:rFonts w:ascii="Calibri" w:hAnsi="Calibri"/>
          <w:sz w:val="22"/>
          <w:szCs w:val="22"/>
        </w:rPr>
      </w:pPr>
    </w:p>
    <w:p w14:paraId="09FD9E97" w14:textId="77777777" w:rsidR="0013694E" w:rsidRDefault="0013694E" w:rsidP="00F7036D">
      <w:pPr>
        <w:rPr>
          <w:rFonts w:ascii="Calibri" w:hAnsi="Calibri"/>
          <w:sz w:val="22"/>
          <w:szCs w:val="22"/>
        </w:rPr>
      </w:pPr>
    </w:p>
    <w:tbl>
      <w:tblPr>
        <w:tblStyle w:val="Tabel-Gitter"/>
        <w:tblW w:w="0" w:type="auto"/>
        <w:tblInd w:w="426" w:type="dxa"/>
        <w:tblLook w:val="04A0" w:firstRow="1" w:lastRow="0" w:firstColumn="1" w:lastColumn="0" w:noHBand="0" w:noVBand="1"/>
      </w:tblPr>
      <w:tblGrid>
        <w:gridCol w:w="10337"/>
      </w:tblGrid>
      <w:tr w:rsidR="0013694E" w14:paraId="03F09041" w14:textId="77777777" w:rsidTr="0013694E">
        <w:tc>
          <w:tcPr>
            <w:tcW w:w="10913" w:type="dxa"/>
            <w:shd w:val="clear" w:color="auto" w:fill="95B3D7" w:themeFill="accent1" w:themeFillTint="99"/>
          </w:tcPr>
          <w:p w14:paraId="61B9CB57" w14:textId="77777777" w:rsidR="00437E47" w:rsidRDefault="00437E47" w:rsidP="00282546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  <w:p w14:paraId="2FBAA332" w14:textId="77777777" w:rsidR="00282546" w:rsidRDefault="00282546" w:rsidP="00282546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282546">
              <w:rPr>
                <w:rFonts w:ascii="Calibri" w:hAnsi="Calibri"/>
                <w:b/>
                <w:bCs/>
                <w:sz w:val="32"/>
                <w:szCs w:val="32"/>
              </w:rPr>
              <w:t>Trivselspulje på 700,- kr. pr. medarbejder</w:t>
            </w:r>
            <w:r>
              <w:rPr>
                <w:rFonts w:ascii="Calibri" w:hAnsi="Calibri"/>
                <w:b/>
                <w:bCs/>
                <w:sz w:val="32"/>
                <w:szCs w:val="32"/>
              </w:rPr>
              <w:t>.</w:t>
            </w:r>
          </w:p>
          <w:p w14:paraId="26137FCB" w14:textId="77777777" w:rsidR="00282546" w:rsidRDefault="00282546" w:rsidP="00282546">
            <w:pPr>
              <w:rPr>
                <w:rFonts w:ascii="Calibri" w:hAnsi="Calibri"/>
                <w:b/>
                <w:bCs/>
                <w:sz w:val="20"/>
              </w:rPr>
            </w:pPr>
          </w:p>
          <w:p w14:paraId="551A654A" w14:textId="77777777" w:rsidR="00282546" w:rsidRDefault="00282546" w:rsidP="0013694E">
            <w:pPr>
              <w:rPr>
                <w:rFonts w:ascii="Calibri" w:hAnsi="Calibri"/>
                <w:sz w:val="22"/>
                <w:szCs w:val="22"/>
              </w:rPr>
            </w:pPr>
          </w:p>
          <w:p w14:paraId="70AC99DA" w14:textId="0C90C588" w:rsidR="0013694E" w:rsidRDefault="0013694E" w:rsidP="001369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Medarbejderne i Ishøj Kommune har i det </w:t>
            </w:r>
            <w:r w:rsidR="00AC5A99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>eneste år ydet en ekstraordinær indsats.</w:t>
            </w:r>
          </w:p>
          <w:p w14:paraId="28973576" w14:textId="28F6AE8A" w:rsidR="0013694E" w:rsidRDefault="0013694E" w:rsidP="001369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 stor del af medarbejderne har stået i frontlinjen for at løse opgaver på sundheds- og velfærdsområdet og i andre kritiske funktioner. Andre har i længere perioder arbejdet på ny måde hjemmefra.</w:t>
            </w:r>
          </w:p>
          <w:p w14:paraId="4BEAADAF" w14:textId="77777777" w:rsidR="0013694E" w:rsidRDefault="0013694E" w:rsidP="0013694E">
            <w:pPr>
              <w:rPr>
                <w:rFonts w:ascii="Calibri" w:hAnsi="Calibri"/>
                <w:sz w:val="22"/>
                <w:szCs w:val="22"/>
              </w:rPr>
            </w:pPr>
          </w:p>
          <w:p w14:paraId="0515E6CC" w14:textId="77777777" w:rsidR="00282546" w:rsidRDefault="00282546" w:rsidP="00282546">
            <w:pPr>
              <w:rPr>
                <w:rFonts w:ascii="Calibri" w:hAnsi="Calibri"/>
                <w:sz w:val="22"/>
                <w:szCs w:val="22"/>
              </w:rPr>
            </w:pPr>
            <w:r w:rsidRPr="00282546">
              <w:rPr>
                <w:rFonts w:ascii="Calibri" w:hAnsi="Calibri"/>
                <w:sz w:val="22"/>
                <w:szCs w:val="22"/>
              </w:rPr>
              <w:t>Økonomi- og plan</w:t>
            </w:r>
            <w:r>
              <w:rPr>
                <w:rFonts w:ascii="Calibri" w:hAnsi="Calibri"/>
                <w:sz w:val="22"/>
                <w:szCs w:val="22"/>
              </w:rPr>
              <w:t>udvalget har derfor bevilliget en pulje på 700,-kr. pr. medarbejder, som kan bruges til at skabe faglig udvikling og trivsel på de enkelte arbejdspladser.</w:t>
            </w:r>
          </w:p>
          <w:p w14:paraId="3443D9E1" w14:textId="77777777" w:rsidR="00282546" w:rsidRDefault="00282546" w:rsidP="00282546">
            <w:pPr>
              <w:rPr>
                <w:rFonts w:ascii="Calibri" w:hAnsi="Calibri"/>
                <w:sz w:val="22"/>
                <w:szCs w:val="22"/>
              </w:rPr>
            </w:pPr>
          </w:p>
          <w:p w14:paraId="2A0A684D" w14:textId="77777777" w:rsidR="00282546" w:rsidRDefault="00282546" w:rsidP="002825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Pengene skal søges senest den 31. oktober via ansøgningsskemaet, der er sendt ud.</w:t>
            </w:r>
          </w:p>
          <w:p w14:paraId="6C502A76" w14:textId="77777777" w:rsidR="00282546" w:rsidRPr="00282546" w:rsidRDefault="00282546" w:rsidP="00282546">
            <w:pPr>
              <w:rPr>
                <w:rFonts w:ascii="Calibri" w:hAnsi="Calibri"/>
                <w:sz w:val="22"/>
                <w:szCs w:val="22"/>
              </w:rPr>
            </w:pPr>
          </w:p>
          <w:p w14:paraId="5A79DE90" w14:textId="77777777" w:rsidR="00282546" w:rsidRDefault="00282546" w:rsidP="0013694E">
            <w:pPr>
              <w:rPr>
                <w:rFonts w:ascii="Calibri" w:hAnsi="Calibri"/>
                <w:sz w:val="22"/>
                <w:szCs w:val="22"/>
              </w:rPr>
            </w:pPr>
          </w:p>
          <w:p w14:paraId="105C1128" w14:textId="77777777" w:rsidR="00327A8D" w:rsidRDefault="00327A8D" w:rsidP="001369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</w:p>
          <w:p w14:paraId="370AF304" w14:textId="77777777" w:rsidR="00327A8D" w:rsidRDefault="00327A8D" w:rsidP="001369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2962FF"/>
              </w:rPr>
              <w:drawing>
                <wp:inline distT="0" distB="0" distL="0" distR="0" wp14:anchorId="6AEECCDA" wp14:editId="6635A9E0">
                  <wp:extent cx="2562225" cy="1066800"/>
                  <wp:effectExtent l="0" t="0" r="0" b="0"/>
                  <wp:docPr id="2" name="Billede 2" descr="200-kroneseddel | lex.dk – Den Store Dansk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0-kroneseddel | lex.dk – Den Store Dansk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794" cy="1067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  <w:noProof/>
                <w:color w:val="2962FF"/>
              </w:rPr>
              <w:t xml:space="preserve">                      </w:t>
            </w:r>
            <w:r>
              <w:rPr>
                <w:noProof/>
              </w:rPr>
              <w:drawing>
                <wp:inline distT="0" distB="0" distL="0" distR="0" wp14:anchorId="33C2D8C2" wp14:editId="550250E8">
                  <wp:extent cx="2779852" cy="1048295"/>
                  <wp:effectExtent l="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662" cy="1090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199EDE" w14:textId="77777777" w:rsidR="0013694E" w:rsidRDefault="0013694E" w:rsidP="0013694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EDACCC7" w14:textId="77777777" w:rsidR="0013694E" w:rsidRPr="004D20BA" w:rsidRDefault="0013694E" w:rsidP="0013694E">
      <w:pPr>
        <w:ind w:left="426"/>
        <w:rPr>
          <w:rFonts w:ascii="Calibri" w:hAnsi="Calibri"/>
          <w:sz w:val="22"/>
          <w:szCs w:val="22"/>
        </w:rPr>
      </w:pPr>
    </w:p>
    <w:sectPr w:rsidR="0013694E" w:rsidRPr="004D20BA" w:rsidSect="001304E0">
      <w:footerReference w:type="default" r:id="rId15"/>
      <w:type w:val="continuous"/>
      <w:pgSz w:w="11907" w:h="16840"/>
      <w:pgMar w:top="567" w:right="567" w:bottom="1702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69F3A" w14:textId="77777777" w:rsidR="00F7173B" w:rsidRDefault="00F7173B">
      <w:r>
        <w:separator/>
      </w:r>
    </w:p>
  </w:endnote>
  <w:endnote w:type="continuationSeparator" w:id="0">
    <w:p w14:paraId="442DEC43" w14:textId="77777777" w:rsidR="00F7173B" w:rsidRDefault="00F7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07ECF" w14:textId="77777777" w:rsidR="00B35D99" w:rsidRPr="00C7015A" w:rsidRDefault="00B35D99" w:rsidP="00C7015A">
    <w:pPr>
      <w:pStyle w:val="Sidefod"/>
      <w:tabs>
        <w:tab w:val="clear" w:pos="4986"/>
      </w:tabs>
      <w:jc w:val="center"/>
      <w:rPr>
        <w:rFonts w:ascii="Arial" w:hAnsi="Arial" w:cs="Arial"/>
        <w:b/>
        <w:color w:val="808080"/>
        <w:sz w:val="18"/>
        <w:szCs w:val="18"/>
      </w:rPr>
    </w:pPr>
    <w:r>
      <w:rPr>
        <w:b/>
        <w:noProof/>
        <w:color w:val="808080"/>
        <w:sz w:val="20"/>
      </w:rPr>
      <w:t>Center for Ledelse og Strategi/HR</w:t>
    </w:r>
    <w:r w:rsidRPr="00C7015A">
      <w:rPr>
        <w:rFonts w:ascii="Arial" w:hAnsi="Arial" w:cs="Arial"/>
        <w:b/>
        <w:bCs/>
        <w:color w:val="808080"/>
        <w:sz w:val="18"/>
        <w:szCs w:val="18"/>
      </w:rPr>
      <w:t xml:space="preserve"> </w:t>
    </w:r>
    <w:r w:rsidRPr="00C7015A">
      <w:rPr>
        <w:rFonts w:ascii="Arial" w:hAnsi="Arial" w:cs="Arial"/>
        <w:b/>
        <w:color w:val="808080"/>
        <w:sz w:val="18"/>
        <w:szCs w:val="18"/>
      </w:rPr>
      <w:sym w:font="Wingdings" w:char="F077"/>
    </w:r>
    <w:r w:rsidRPr="00C7015A">
      <w:rPr>
        <w:rFonts w:ascii="Arial" w:hAnsi="Arial" w:cs="Arial"/>
        <w:b/>
        <w:color w:val="808080"/>
        <w:sz w:val="18"/>
        <w:szCs w:val="18"/>
      </w:rPr>
      <w:t xml:space="preserve">Ishøj Store Torv 20 </w:t>
    </w:r>
    <w:r w:rsidRPr="00C7015A">
      <w:rPr>
        <w:rFonts w:ascii="Arial" w:hAnsi="Arial" w:cs="Arial"/>
        <w:b/>
        <w:color w:val="808080"/>
        <w:sz w:val="18"/>
        <w:szCs w:val="18"/>
      </w:rPr>
      <w:sym w:font="Wingdings" w:char="F077"/>
    </w:r>
    <w:r w:rsidRPr="00C7015A">
      <w:rPr>
        <w:rFonts w:ascii="Arial" w:hAnsi="Arial" w:cs="Arial"/>
        <w:b/>
        <w:color w:val="808080"/>
        <w:sz w:val="18"/>
        <w:szCs w:val="18"/>
      </w:rPr>
      <w:t xml:space="preserve"> 2635 Ishøj </w:t>
    </w:r>
    <w:r w:rsidRPr="00C7015A">
      <w:rPr>
        <w:rFonts w:ascii="Arial" w:hAnsi="Arial" w:cs="Arial"/>
        <w:b/>
        <w:color w:val="808080"/>
        <w:sz w:val="18"/>
        <w:szCs w:val="18"/>
      </w:rPr>
      <w:sym w:font="Wingdings" w:char="F077"/>
    </w:r>
    <w:r w:rsidRPr="00C7015A">
      <w:rPr>
        <w:rFonts w:ascii="Arial" w:hAnsi="Arial" w:cs="Arial"/>
        <w:b/>
        <w:color w:val="808080"/>
        <w:sz w:val="18"/>
        <w:szCs w:val="18"/>
      </w:rPr>
      <w:t xml:space="preserve">  </w:t>
    </w:r>
    <w:r>
      <w:rPr>
        <w:rFonts w:ascii="Arial" w:hAnsi="Arial" w:cs="Arial"/>
        <w:b/>
        <w:color w:val="808080"/>
        <w:sz w:val="18"/>
        <w:szCs w:val="18"/>
      </w:rPr>
      <w:t>HR</w:t>
    </w:r>
    <w:r w:rsidRPr="00C7015A">
      <w:rPr>
        <w:rFonts w:ascii="Arial" w:hAnsi="Arial" w:cs="Arial"/>
        <w:b/>
        <w:color w:val="808080"/>
        <w:sz w:val="18"/>
        <w:szCs w:val="18"/>
      </w:rPr>
      <w:t>@ishoj.dk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731CF" w14:textId="77777777" w:rsidR="00B35D99" w:rsidRDefault="00B35D99">
    <w:pPr>
      <w:pStyle w:val="Sidefod"/>
      <w:tabs>
        <w:tab w:val="clear" w:pos="4986"/>
      </w:tabs>
      <w:rPr>
        <w:rFonts w:ascii="Arial" w:hAnsi="Arial" w:cs="Arial"/>
        <w:b/>
        <w:bCs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6CA98" w14:textId="77777777" w:rsidR="00F7173B" w:rsidRDefault="00F7173B">
      <w:r>
        <w:separator/>
      </w:r>
    </w:p>
  </w:footnote>
  <w:footnote w:type="continuationSeparator" w:id="0">
    <w:p w14:paraId="022654AB" w14:textId="77777777" w:rsidR="00F7173B" w:rsidRDefault="00F7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8B758" w14:textId="77777777" w:rsidR="00B35D99" w:rsidRPr="00ED422C" w:rsidRDefault="000F4C06" w:rsidP="000F4C06">
    <w:pPr>
      <w:framePr w:w="8521" w:h="1381" w:hSpace="180" w:wrap="around" w:vAnchor="page" w:hAnchor="page" w:x="2116" w:y="1306"/>
      <w:rPr>
        <w:rFonts w:ascii="Arial" w:hAnsi="Arial" w:cs="Arial"/>
        <w:sz w:val="28"/>
        <w:szCs w:val="28"/>
      </w:rPr>
    </w:pPr>
    <w:r>
      <w:rPr>
        <w:rFonts w:ascii="Arial" w:hAnsi="Arial" w:cs="Arial"/>
        <w:sz w:val="32"/>
        <w:szCs w:val="32"/>
      </w:rPr>
      <w:t xml:space="preserve">   </w:t>
    </w:r>
    <w:r w:rsidR="00B35D99" w:rsidRPr="00ED422C">
      <w:rPr>
        <w:rFonts w:ascii="Arial" w:hAnsi="Arial" w:cs="Arial"/>
        <w:sz w:val="28"/>
        <w:szCs w:val="28"/>
      </w:rPr>
      <w:t xml:space="preserve">Center for Ledelse og </w:t>
    </w:r>
    <w:r w:rsidR="00257FCE" w:rsidRPr="00ED422C">
      <w:rPr>
        <w:rFonts w:ascii="Arial" w:hAnsi="Arial" w:cs="Arial"/>
        <w:sz w:val="28"/>
        <w:szCs w:val="28"/>
      </w:rPr>
      <w:t>Strategi</w:t>
    </w:r>
    <w:r w:rsidR="00B35D99" w:rsidRPr="00ED422C">
      <w:rPr>
        <w:rFonts w:ascii="Arial" w:hAnsi="Arial" w:cs="Arial"/>
        <w:sz w:val="28"/>
        <w:szCs w:val="28"/>
      </w:rPr>
      <w:t xml:space="preserve"> – Nyhedsbrev – </w:t>
    </w:r>
    <w:r w:rsidR="00ED422C" w:rsidRPr="00ED422C">
      <w:rPr>
        <w:rFonts w:ascii="Arial" w:hAnsi="Arial" w:cs="Arial"/>
        <w:sz w:val="28"/>
        <w:szCs w:val="28"/>
      </w:rPr>
      <w:t>august</w:t>
    </w:r>
    <w:r w:rsidR="002A69C4" w:rsidRPr="00ED422C">
      <w:rPr>
        <w:rFonts w:ascii="Arial" w:hAnsi="Arial" w:cs="Arial"/>
        <w:sz w:val="28"/>
        <w:szCs w:val="28"/>
      </w:rPr>
      <w:t xml:space="preserve"> </w:t>
    </w:r>
    <w:r w:rsidRPr="00ED422C">
      <w:rPr>
        <w:rFonts w:ascii="Arial" w:hAnsi="Arial" w:cs="Arial"/>
        <w:sz w:val="28"/>
        <w:szCs w:val="28"/>
      </w:rPr>
      <w:t>2021</w:t>
    </w:r>
    <w:r w:rsidR="00B35D99" w:rsidRPr="00ED422C">
      <w:rPr>
        <w:rFonts w:ascii="Arial" w:hAnsi="Arial" w:cs="Arial"/>
        <w:sz w:val="28"/>
        <w:szCs w:val="28"/>
      </w:rPr>
      <w:br/>
    </w:r>
  </w:p>
  <w:p w14:paraId="40DE8CC0" w14:textId="77777777" w:rsidR="00B35D99" w:rsidRDefault="00B35D99">
    <w:pPr>
      <w:pStyle w:val="Sidehoved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870F720" wp14:editId="50C56961">
          <wp:simplePos x="0" y="0"/>
          <wp:positionH relativeFrom="column">
            <wp:posOffset>163830</wp:posOffset>
          </wp:positionH>
          <wp:positionV relativeFrom="paragraph">
            <wp:posOffset>7620</wp:posOffset>
          </wp:positionV>
          <wp:extent cx="5991225" cy="685800"/>
          <wp:effectExtent l="0" t="0" r="0" b="0"/>
          <wp:wrapNone/>
          <wp:docPr id="17" name="Billede 17" descr="Ishojgraalys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hojgraalys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4A3F"/>
    <w:multiLevelType w:val="hybridMultilevel"/>
    <w:tmpl w:val="3EEA13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D069F"/>
    <w:multiLevelType w:val="hybridMultilevel"/>
    <w:tmpl w:val="4CEC6B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5775B"/>
    <w:multiLevelType w:val="hybridMultilevel"/>
    <w:tmpl w:val="56BE4E6C"/>
    <w:lvl w:ilvl="0" w:tplc="040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CC6411"/>
    <w:multiLevelType w:val="hybridMultilevel"/>
    <w:tmpl w:val="5372ADB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630930"/>
    <w:multiLevelType w:val="hybridMultilevel"/>
    <w:tmpl w:val="45F8CA88"/>
    <w:lvl w:ilvl="0" w:tplc="7F52FC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0349A4"/>
    <w:multiLevelType w:val="hybridMultilevel"/>
    <w:tmpl w:val="AF389DF8"/>
    <w:lvl w:ilvl="0" w:tplc="0406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6" w15:restartNumberingAfterBreak="0">
    <w:nsid w:val="15E110A6"/>
    <w:multiLevelType w:val="hybridMultilevel"/>
    <w:tmpl w:val="B9CAED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31A1D"/>
    <w:multiLevelType w:val="hybridMultilevel"/>
    <w:tmpl w:val="0FA0C1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61848"/>
    <w:multiLevelType w:val="hybridMultilevel"/>
    <w:tmpl w:val="59986E78"/>
    <w:lvl w:ilvl="0" w:tplc="0406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9" w15:restartNumberingAfterBreak="0">
    <w:nsid w:val="19EF08AB"/>
    <w:multiLevelType w:val="hybridMultilevel"/>
    <w:tmpl w:val="95625B06"/>
    <w:lvl w:ilvl="0" w:tplc="7F52FC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AA0947"/>
    <w:multiLevelType w:val="hybridMultilevel"/>
    <w:tmpl w:val="3092B51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7E255E"/>
    <w:multiLevelType w:val="hybridMultilevel"/>
    <w:tmpl w:val="A650CF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A48F7"/>
    <w:multiLevelType w:val="hybridMultilevel"/>
    <w:tmpl w:val="B198CC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D7A16"/>
    <w:multiLevelType w:val="hybridMultilevel"/>
    <w:tmpl w:val="7C4AB7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9268A"/>
    <w:multiLevelType w:val="multilevel"/>
    <w:tmpl w:val="6768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C40D4A"/>
    <w:multiLevelType w:val="hybridMultilevel"/>
    <w:tmpl w:val="EE3281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9417F"/>
    <w:multiLevelType w:val="hybridMultilevel"/>
    <w:tmpl w:val="5260A6AA"/>
    <w:lvl w:ilvl="0" w:tplc="DCA0A9D2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E5A4B48"/>
    <w:multiLevelType w:val="hybridMultilevel"/>
    <w:tmpl w:val="B0AEA9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42456"/>
    <w:multiLevelType w:val="hybridMultilevel"/>
    <w:tmpl w:val="2B0AAD18"/>
    <w:lvl w:ilvl="0" w:tplc="955C8E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9C6702"/>
    <w:multiLevelType w:val="multilevel"/>
    <w:tmpl w:val="A934D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0240AB"/>
    <w:multiLevelType w:val="hybridMultilevel"/>
    <w:tmpl w:val="423A3E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97B97"/>
    <w:multiLevelType w:val="hybridMultilevel"/>
    <w:tmpl w:val="41FA92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4145A"/>
    <w:multiLevelType w:val="hybridMultilevel"/>
    <w:tmpl w:val="F5CAE5E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EC7727"/>
    <w:multiLevelType w:val="multilevel"/>
    <w:tmpl w:val="2E24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3D3D61"/>
    <w:multiLevelType w:val="hybridMultilevel"/>
    <w:tmpl w:val="B99AEF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A3B52"/>
    <w:multiLevelType w:val="hybridMultilevel"/>
    <w:tmpl w:val="CE82E8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0028A"/>
    <w:multiLevelType w:val="hybridMultilevel"/>
    <w:tmpl w:val="4A367E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7B732F"/>
    <w:multiLevelType w:val="hybridMultilevel"/>
    <w:tmpl w:val="773EE932"/>
    <w:lvl w:ilvl="0" w:tplc="5896040A"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8" w15:restartNumberingAfterBreak="0">
    <w:nsid w:val="7B4A2AD3"/>
    <w:multiLevelType w:val="multilevel"/>
    <w:tmpl w:val="4396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F5673B"/>
    <w:multiLevelType w:val="hybridMultilevel"/>
    <w:tmpl w:val="2A1CEA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633E5"/>
    <w:multiLevelType w:val="hybridMultilevel"/>
    <w:tmpl w:val="10F605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7"/>
  </w:num>
  <w:num w:numId="4">
    <w:abstractNumId w:val="22"/>
  </w:num>
  <w:num w:numId="5">
    <w:abstractNumId w:val="23"/>
  </w:num>
  <w:num w:numId="6">
    <w:abstractNumId w:val="28"/>
  </w:num>
  <w:num w:numId="7">
    <w:abstractNumId w:val="11"/>
  </w:num>
  <w:num w:numId="8">
    <w:abstractNumId w:val="7"/>
  </w:num>
  <w:num w:numId="9">
    <w:abstractNumId w:val="1"/>
  </w:num>
  <w:num w:numId="10">
    <w:abstractNumId w:val="2"/>
  </w:num>
  <w:num w:numId="11">
    <w:abstractNumId w:val="13"/>
  </w:num>
  <w:num w:numId="12">
    <w:abstractNumId w:val="24"/>
  </w:num>
  <w:num w:numId="13">
    <w:abstractNumId w:val="21"/>
  </w:num>
  <w:num w:numId="14">
    <w:abstractNumId w:val="25"/>
  </w:num>
  <w:num w:numId="15">
    <w:abstractNumId w:val="3"/>
  </w:num>
  <w:num w:numId="16">
    <w:abstractNumId w:val="29"/>
  </w:num>
  <w:num w:numId="17">
    <w:abstractNumId w:val="6"/>
  </w:num>
  <w:num w:numId="18">
    <w:abstractNumId w:val="18"/>
  </w:num>
  <w:num w:numId="19">
    <w:abstractNumId w:val="4"/>
  </w:num>
  <w:num w:numId="20">
    <w:abstractNumId w:val="15"/>
  </w:num>
  <w:num w:numId="21">
    <w:abstractNumId w:val="9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8"/>
  </w:num>
  <w:num w:numId="25">
    <w:abstractNumId w:val="1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7"/>
  </w:num>
  <w:num w:numId="29">
    <w:abstractNumId w:val="5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autoHyphenation/>
  <w:hyphenationZone w:val="170"/>
  <w:drawingGridHorizontalSpacing w:val="119"/>
  <w:drawingGridVerticalSpacing w:val="119"/>
  <w:displayHorizontalDrawingGridEvery w:val="2"/>
  <w:displayVerticalDrawingGridEvery w:val="2"/>
  <w:doNotUseMarginsForDrawingGridOrigin/>
  <w:drawingGridVerticalOrigin w:val="198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09"/>
    <w:rsid w:val="00014891"/>
    <w:rsid w:val="00021683"/>
    <w:rsid w:val="00023524"/>
    <w:rsid w:val="000273EE"/>
    <w:rsid w:val="00051F40"/>
    <w:rsid w:val="00053FD5"/>
    <w:rsid w:val="0007607C"/>
    <w:rsid w:val="00091E6B"/>
    <w:rsid w:val="000937B0"/>
    <w:rsid w:val="00095AD8"/>
    <w:rsid w:val="00097B4B"/>
    <w:rsid w:val="000A3D19"/>
    <w:rsid w:val="000B309A"/>
    <w:rsid w:val="000C20C5"/>
    <w:rsid w:val="000F4C06"/>
    <w:rsid w:val="00125245"/>
    <w:rsid w:val="001304E0"/>
    <w:rsid w:val="00132F7B"/>
    <w:rsid w:val="0013694E"/>
    <w:rsid w:val="001872FB"/>
    <w:rsid w:val="001939D1"/>
    <w:rsid w:val="001B722A"/>
    <w:rsid w:val="001D59A1"/>
    <w:rsid w:val="001D6F85"/>
    <w:rsid w:val="001E731E"/>
    <w:rsid w:val="001F2454"/>
    <w:rsid w:val="001F4A35"/>
    <w:rsid w:val="00210E90"/>
    <w:rsid w:val="0021649A"/>
    <w:rsid w:val="002253E0"/>
    <w:rsid w:val="00225A7F"/>
    <w:rsid w:val="00250C7E"/>
    <w:rsid w:val="002548F7"/>
    <w:rsid w:val="00257FCE"/>
    <w:rsid w:val="00274091"/>
    <w:rsid w:val="00276754"/>
    <w:rsid w:val="00282546"/>
    <w:rsid w:val="00287CD5"/>
    <w:rsid w:val="00293340"/>
    <w:rsid w:val="002A69C4"/>
    <w:rsid w:val="002B0C42"/>
    <w:rsid w:val="002F1A4D"/>
    <w:rsid w:val="002F4133"/>
    <w:rsid w:val="0030315B"/>
    <w:rsid w:val="0031038D"/>
    <w:rsid w:val="00310A3B"/>
    <w:rsid w:val="00311917"/>
    <w:rsid w:val="00315EF6"/>
    <w:rsid w:val="00320992"/>
    <w:rsid w:val="00321E18"/>
    <w:rsid w:val="003229B1"/>
    <w:rsid w:val="00323725"/>
    <w:rsid w:val="00327A8D"/>
    <w:rsid w:val="0034224B"/>
    <w:rsid w:val="0034446B"/>
    <w:rsid w:val="003564EE"/>
    <w:rsid w:val="00380227"/>
    <w:rsid w:val="003803E1"/>
    <w:rsid w:val="00386DF7"/>
    <w:rsid w:val="00391BC1"/>
    <w:rsid w:val="00395069"/>
    <w:rsid w:val="00397C6C"/>
    <w:rsid w:val="003A4304"/>
    <w:rsid w:val="003B3C26"/>
    <w:rsid w:val="003B54FC"/>
    <w:rsid w:val="003D4309"/>
    <w:rsid w:val="00413D04"/>
    <w:rsid w:val="00417F70"/>
    <w:rsid w:val="00420582"/>
    <w:rsid w:val="004359F7"/>
    <w:rsid w:val="00437E47"/>
    <w:rsid w:val="004439B6"/>
    <w:rsid w:val="00456FC6"/>
    <w:rsid w:val="0046186A"/>
    <w:rsid w:val="00464797"/>
    <w:rsid w:val="00470664"/>
    <w:rsid w:val="0048004B"/>
    <w:rsid w:val="00492B1D"/>
    <w:rsid w:val="00494CBA"/>
    <w:rsid w:val="004A05CA"/>
    <w:rsid w:val="004A5E05"/>
    <w:rsid w:val="004C3FA2"/>
    <w:rsid w:val="004D20BA"/>
    <w:rsid w:val="004F2FA1"/>
    <w:rsid w:val="00501F73"/>
    <w:rsid w:val="00503FB9"/>
    <w:rsid w:val="00555DC9"/>
    <w:rsid w:val="00564989"/>
    <w:rsid w:val="00571316"/>
    <w:rsid w:val="00577A51"/>
    <w:rsid w:val="00580DC9"/>
    <w:rsid w:val="00593D31"/>
    <w:rsid w:val="00596FA8"/>
    <w:rsid w:val="005A188C"/>
    <w:rsid w:val="005A77CF"/>
    <w:rsid w:val="005B4BE8"/>
    <w:rsid w:val="005F5D58"/>
    <w:rsid w:val="00602C91"/>
    <w:rsid w:val="006048CE"/>
    <w:rsid w:val="006055B6"/>
    <w:rsid w:val="00620DA5"/>
    <w:rsid w:val="006350FC"/>
    <w:rsid w:val="00641D98"/>
    <w:rsid w:val="00642EE9"/>
    <w:rsid w:val="00695A09"/>
    <w:rsid w:val="006A0F37"/>
    <w:rsid w:val="006A2A99"/>
    <w:rsid w:val="006D2DB9"/>
    <w:rsid w:val="006D379F"/>
    <w:rsid w:val="006F7A41"/>
    <w:rsid w:val="0072289F"/>
    <w:rsid w:val="0072524E"/>
    <w:rsid w:val="00731CEF"/>
    <w:rsid w:val="00734480"/>
    <w:rsid w:val="007377BB"/>
    <w:rsid w:val="00750E9D"/>
    <w:rsid w:val="00764245"/>
    <w:rsid w:val="00793585"/>
    <w:rsid w:val="007A1D0E"/>
    <w:rsid w:val="007E244A"/>
    <w:rsid w:val="00810ED5"/>
    <w:rsid w:val="008113E7"/>
    <w:rsid w:val="00827CD5"/>
    <w:rsid w:val="0084331A"/>
    <w:rsid w:val="0087485F"/>
    <w:rsid w:val="00877EB6"/>
    <w:rsid w:val="00882659"/>
    <w:rsid w:val="008938C4"/>
    <w:rsid w:val="008D3675"/>
    <w:rsid w:val="008D5317"/>
    <w:rsid w:val="008D79DE"/>
    <w:rsid w:val="008E1EC3"/>
    <w:rsid w:val="008E34D2"/>
    <w:rsid w:val="008F4940"/>
    <w:rsid w:val="0090533F"/>
    <w:rsid w:val="00912B83"/>
    <w:rsid w:val="009466AC"/>
    <w:rsid w:val="00950A9D"/>
    <w:rsid w:val="00960CDE"/>
    <w:rsid w:val="00967716"/>
    <w:rsid w:val="009973E4"/>
    <w:rsid w:val="009C7E76"/>
    <w:rsid w:val="009E4BBC"/>
    <w:rsid w:val="00A42DCD"/>
    <w:rsid w:val="00A5443B"/>
    <w:rsid w:val="00A70A26"/>
    <w:rsid w:val="00A8136C"/>
    <w:rsid w:val="00A91FEB"/>
    <w:rsid w:val="00A93983"/>
    <w:rsid w:val="00AA0EE4"/>
    <w:rsid w:val="00AA4A99"/>
    <w:rsid w:val="00AB3447"/>
    <w:rsid w:val="00AB769A"/>
    <w:rsid w:val="00AC5043"/>
    <w:rsid w:val="00AC5A99"/>
    <w:rsid w:val="00AC5C51"/>
    <w:rsid w:val="00AE4EEE"/>
    <w:rsid w:val="00AE76B5"/>
    <w:rsid w:val="00B05F56"/>
    <w:rsid w:val="00B16462"/>
    <w:rsid w:val="00B1661B"/>
    <w:rsid w:val="00B20D61"/>
    <w:rsid w:val="00B23D14"/>
    <w:rsid w:val="00B25813"/>
    <w:rsid w:val="00B307DB"/>
    <w:rsid w:val="00B35D99"/>
    <w:rsid w:val="00B44481"/>
    <w:rsid w:val="00BA4CEE"/>
    <w:rsid w:val="00BB6988"/>
    <w:rsid w:val="00BC0B01"/>
    <w:rsid w:val="00BE3E21"/>
    <w:rsid w:val="00BE4500"/>
    <w:rsid w:val="00C00D34"/>
    <w:rsid w:val="00C450FE"/>
    <w:rsid w:val="00C61221"/>
    <w:rsid w:val="00C670E4"/>
    <w:rsid w:val="00C7015A"/>
    <w:rsid w:val="00C738D1"/>
    <w:rsid w:val="00C96F69"/>
    <w:rsid w:val="00CB13D3"/>
    <w:rsid w:val="00CC31C1"/>
    <w:rsid w:val="00CD030A"/>
    <w:rsid w:val="00CD030B"/>
    <w:rsid w:val="00CD20A5"/>
    <w:rsid w:val="00CE019F"/>
    <w:rsid w:val="00CF0CF0"/>
    <w:rsid w:val="00CF2193"/>
    <w:rsid w:val="00D127A7"/>
    <w:rsid w:val="00D30782"/>
    <w:rsid w:val="00D50FC4"/>
    <w:rsid w:val="00D671FA"/>
    <w:rsid w:val="00D83ECF"/>
    <w:rsid w:val="00DA4A4B"/>
    <w:rsid w:val="00DB36D0"/>
    <w:rsid w:val="00DC37EB"/>
    <w:rsid w:val="00DD2F3A"/>
    <w:rsid w:val="00DD5741"/>
    <w:rsid w:val="00E03589"/>
    <w:rsid w:val="00E141E9"/>
    <w:rsid w:val="00E21D52"/>
    <w:rsid w:val="00E22572"/>
    <w:rsid w:val="00E27724"/>
    <w:rsid w:val="00E321F5"/>
    <w:rsid w:val="00E402AC"/>
    <w:rsid w:val="00E46F51"/>
    <w:rsid w:val="00E50726"/>
    <w:rsid w:val="00E734EC"/>
    <w:rsid w:val="00E75C0F"/>
    <w:rsid w:val="00E861A1"/>
    <w:rsid w:val="00EA1CB4"/>
    <w:rsid w:val="00EA3AF8"/>
    <w:rsid w:val="00ED422C"/>
    <w:rsid w:val="00ED5722"/>
    <w:rsid w:val="00F14D50"/>
    <w:rsid w:val="00F16507"/>
    <w:rsid w:val="00F32199"/>
    <w:rsid w:val="00F642BB"/>
    <w:rsid w:val="00F7036D"/>
    <w:rsid w:val="00F7173B"/>
    <w:rsid w:val="00F868F1"/>
    <w:rsid w:val="00FA27F6"/>
    <w:rsid w:val="00FC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7895E4D"/>
  <w15:docId w15:val="{4A3D2ECB-3932-459E-B930-A3FF8CE2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988"/>
    <w:pPr>
      <w:overflowPunct w:val="0"/>
      <w:autoSpaceDE w:val="0"/>
      <w:autoSpaceDN w:val="0"/>
      <w:adjustRightInd w:val="0"/>
      <w:textAlignment w:val="baseline"/>
    </w:pPr>
    <w:rPr>
      <w:spacing w:val="-3"/>
      <w:sz w:val="24"/>
    </w:rPr>
  </w:style>
  <w:style w:type="paragraph" w:styleId="Overskrift1">
    <w:name w:val="heading 1"/>
    <w:basedOn w:val="Normal"/>
    <w:next w:val="Normal"/>
    <w:link w:val="Overskrift1Tegn"/>
    <w:qFormat/>
    <w:rsid w:val="00F868F1"/>
    <w:pPr>
      <w:keepNext/>
      <w:outlineLvl w:val="0"/>
    </w:pPr>
    <w:rPr>
      <w:b/>
      <w:bCs/>
      <w:spacing w:val="0"/>
      <w:sz w:val="28"/>
    </w:rPr>
  </w:style>
  <w:style w:type="paragraph" w:styleId="Overskrift2">
    <w:name w:val="heading 2"/>
    <w:basedOn w:val="Normal"/>
    <w:next w:val="Normal"/>
    <w:link w:val="Overskrift2Tegn"/>
    <w:qFormat/>
    <w:rsid w:val="00F868F1"/>
    <w:pPr>
      <w:keepNext/>
      <w:outlineLvl w:val="1"/>
    </w:pPr>
    <w:rPr>
      <w:spacing w:val="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BB6988"/>
    <w:pPr>
      <w:tabs>
        <w:tab w:val="center" w:pos="4986"/>
        <w:tab w:val="right" w:pos="9972"/>
      </w:tabs>
    </w:pPr>
  </w:style>
  <w:style w:type="paragraph" w:styleId="Brdtekst">
    <w:name w:val="Body Text"/>
    <w:basedOn w:val="Normal"/>
    <w:semiHidden/>
    <w:rsid w:val="00BB6988"/>
    <w:pPr>
      <w:spacing w:after="120"/>
    </w:pPr>
  </w:style>
  <w:style w:type="paragraph" w:styleId="Sidefod">
    <w:name w:val="footer"/>
    <w:basedOn w:val="Normal"/>
    <w:semiHidden/>
    <w:rsid w:val="00BB6988"/>
    <w:pPr>
      <w:tabs>
        <w:tab w:val="center" w:pos="4986"/>
        <w:tab w:val="right" w:pos="9972"/>
      </w:tabs>
    </w:pPr>
  </w:style>
  <w:style w:type="table" w:styleId="Tabel-Gitter">
    <w:name w:val="Table Grid"/>
    <w:basedOn w:val="Tabel-Normal"/>
    <w:uiPriority w:val="59"/>
    <w:rsid w:val="00C70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2B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Cs w:val="24"/>
    </w:rPr>
  </w:style>
  <w:style w:type="character" w:styleId="Strk">
    <w:name w:val="Strong"/>
    <w:basedOn w:val="Standardskrifttypeiafsnit"/>
    <w:uiPriority w:val="22"/>
    <w:qFormat/>
    <w:rsid w:val="00912B83"/>
    <w:rPr>
      <w:b/>
      <w:bCs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F868F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868F1"/>
    <w:rPr>
      <w:spacing w:val="-3"/>
      <w:sz w:val="24"/>
    </w:rPr>
  </w:style>
  <w:style w:type="character" w:customStyle="1" w:styleId="Overskrift1Tegn">
    <w:name w:val="Overskrift 1 Tegn"/>
    <w:basedOn w:val="Standardskrifttypeiafsnit"/>
    <w:link w:val="Overskrift1"/>
    <w:rsid w:val="00F868F1"/>
    <w:rPr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rsid w:val="00F868F1"/>
    <w:rPr>
      <w:sz w:val="24"/>
    </w:rPr>
  </w:style>
  <w:style w:type="character" w:styleId="Hyperlink">
    <w:name w:val="Hyperlink"/>
    <w:basedOn w:val="Standardskrifttypeiafsnit"/>
    <w:semiHidden/>
    <w:rsid w:val="00F868F1"/>
    <w:rPr>
      <w:color w:val="0000FF"/>
      <w:u w:val="single"/>
    </w:rPr>
  </w:style>
  <w:style w:type="paragraph" w:customStyle="1" w:styleId="default">
    <w:name w:val="default"/>
    <w:basedOn w:val="Normal"/>
    <w:rsid w:val="002548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2F3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2F3A"/>
    <w:rPr>
      <w:rFonts w:ascii="Tahoma" w:hAnsi="Tahoma" w:cs="Tahoma"/>
      <w:spacing w:val="-3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rsid w:val="00602C91"/>
    <w:pPr>
      <w:overflowPunct/>
      <w:autoSpaceDE/>
      <w:autoSpaceDN/>
      <w:adjustRightInd/>
      <w:textAlignment w:val="auto"/>
    </w:pPr>
    <w:rPr>
      <w:rFonts w:ascii="Calibri" w:eastAsia="Calibri" w:hAnsi="Calibri" w:cs="Calibri"/>
      <w:spacing w:val="0"/>
      <w:sz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602C91"/>
    <w:rPr>
      <w:rFonts w:ascii="Calibri" w:eastAsia="Calibri" w:hAnsi="Calibri" w:cs="Calibri"/>
      <w:lang w:eastAsia="en-US"/>
    </w:rPr>
  </w:style>
  <w:style w:type="character" w:styleId="Fodnotehenvisning">
    <w:name w:val="footnote reference"/>
    <w:basedOn w:val="Standardskrifttypeiafsnit"/>
    <w:uiPriority w:val="99"/>
    <w:rsid w:val="00602C91"/>
    <w:rPr>
      <w:rFonts w:ascii="Times New Roman" w:hAnsi="Times New Roman" w:cs="Times New Roman"/>
      <w:vertAlign w:val="superscript"/>
    </w:rPr>
  </w:style>
  <w:style w:type="paragraph" w:styleId="Listeafsnit">
    <w:name w:val="List Paragraph"/>
    <w:basedOn w:val="Normal"/>
    <w:uiPriority w:val="34"/>
    <w:qFormat/>
    <w:rsid w:val="00602C91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eastAsia="Calibri"/>
      <w:spacing w:val="0"/>
      <w:szCs w:val="22"/>
      <w:lang w:eastAsia="en-US"/>
    </w:rPr>
  </w:style>
  <w:style w:type="paragraph" w:customStyle="1" w:styleId="Default0">
    <w:name w:val="Default"/>
    <w:rsid w:val="00602C9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D671FA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671FA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273E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273EE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273EE"/>
    <w:rPr>
      <w:spacing w:val="-3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273E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273EE"/>
    <w:rPr>
      <w:b/>
      <w:bCs/>
      <w:spacing w:val="-3"/>
    </w:rPr>
  </w:style>
  <w:style w:type="paragraph" w:styleId="Korrektur">
    <w:name w:val="Revision"/>
    <w:hidden/>
    <w:uiPriority w:val="99"/>
    <w:semiHidden/>
    <w:rsid w:val="000273EE"/>
    <w:rPr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1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3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73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google.dk/imgres?imgurl=https://media.lex.dk/media/17102/standard_200kroneseddel.jpg&amp;imgrefurl=https://denstoredanske.lex.dk/200-kroneseddel&amp;tbnid=1aLI8V3Y59mmUM&amp;vet=12ahUKEwiI0MCF0dXxAhVTwSoKHaUvDPMQMygregUIARD9AQ..i&amp;docid=OGlaHHbOaBN9qM&amp;w=1200&amp;h=600&amp;q=billede%20af%20danske%20penge&amp;hl=da&amp;ved=2ahUKEwiI0MCF0dXxAhVTwSoKHaUvDPMQMygregUIARD9A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rbomvinding.com/da/viden/nyheder/tale-er-soelv-begraenset-kommunikation-er-guld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cid:image001.jpg@01D79423.DC2A87E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456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Ishøj Kommune</Company>
  <LinksUpToDate>false</LinksUpToDate>
  <CharactersWithSpaces>3330</CharactersWithSpaces>
  <SharedDoc>false</SharedDoc>
  <HLinks>
    <vt:vector size="24" baseType="variant">
      <vt:variant>
        <vt:i4>8257663</vt:i4>
      </vt:variant>
      <vt:variant>
        <vt:i4>9</vt:i4>
      </vt:variant>
      <vt:variant>
        <vt:i4>0</vt:i4>
      </vt:variant>
      <vt:variant>
        <vt:i4>5</vt:i4>
      </vt:variant>
      <vt:variant>
        <vt:lpwstr>https://www.arbejdsmiljoweb.dk/arbejdsmiljoearbejdet/arbejdsmiljoeorganisationen/trio-samarbejdet/10-moeder-for-arbejdsmiljoegrupper-eller-trio'er</vt:lpwstr>
      </vt:variant>
      <vt:variant>
        <vt:lpwstr/>
      </vt:variant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https://www.arbejdsmiljoweb.dk/arbejdsmiljoearbejdet/arbejdsmiljoeorganisationen/trio-samarbejdet</vt:lpwstr>
      </vt:variant>
      <vt:variant>
        <vt:lpwstr/>
      </vt:variant>
      <vt:variant>
        <vt:i4>5570590</vt:i4>
      </vt:variant>
      <vt:variant>
        <vt:i4>3</vt:i4>
      </vt:variant>
      <vt:variant>
        <vt:i4>0</vt:i4>
      </vt:variant>
      <vt:variant>
        <vt:i4>5</vt:i4>
      </vt:variant>
      <vt:variant>
        <vt:lpwstr>https://www.arbejdsmiljoweb.dk/trivsel/vold_og_trusler/seks-guider-om-vold</vt:lpwstr>
      </vt:variant>
      <vt:variant>
        <vt:lpwstr/>
      </vt:variant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https://www.arbejdsmiljoweb.dk/trivsel/vold_og_trusler/kraenkende-handlinger-af-seksuel-karakter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Inge Olsen</dc:creator>
  <cp:lastModifiedBy>Gitte Manuela Naundrup Rygaard</cp:lastModifiedBy>
  <cp:revision>5</cp:revision>
  <cp:lastPrinted>2012-08-23T11:29:00Z</cp:lastPrinted>
  <dcterms:created xsi:type="dcterms:W3CDTF">2021-08-03T08:48:00Z</dcterms:created>
  <dcterms:modified xsi:type="dcterms:W3CDTF">2021-08-18T10:23:00Z</dcterms:modified>
</cp:coreProperties>
</file>