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BB" w:rsidRDefault="007377BB"/>
    <w:p w:rsidR="006A0F37" w:rsidRPr="00960CDE" w:rsidRDefault="006A0F37" w:rsidP="006A0F37">
      <w:pPr>
        <w:ind w:left="-426"/>
        <w:jc w:val="both"/>
        <w:rPr>
          <w:rFonts w:ascii="Calibri" w:hAnsi="Calibri"/>
          <w:sz w:val="22"/>
          <w:szCs w:val="22"/>
        </w:rPr>
        <w:sectPr w:rsidR="006A0F37" w:rsidRPr="00960CDE" w:rsidSect="00010362">
          <w:headerReference w:type="default" r:id="rId8"/>
          <w:footerReference w:type="default" r:id="rId9"/>
          <w:type w:val="continuous"/>
          <w:pgSz w:w="11907" w:h="16840"/>
          <w:pgMar w:top="426" w:right="567" w:bottom="567" w:left="567" w:header="708" w:footer="708" w:gutter="0"/>
          <w:cols w:space="708"/>
        </w:sectPr>
      </w:pPr>
    </w:p>
    <w:tbl>
      <w:tblPr>
        <w:tblW w:w="97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36"/>
        <w:gridCol w:w="4376"/>
      </w:tblGrid>
      <w:tr w:rsidR="006A0F37" w:rsidRPr="00DD2F3A" w:rsidTr="00484259">
        <w:trPr>
          <w:trHeight w:val="359"/>
        </w:trPr>
        <w:tc>
          <w:tcPr>
            <w:tcW w:w="5103" w:type="dxa"/>
            <w:tcBorders>
              <w:bottom w:val="single" w:sz="4" w:space="0" w:color="auto"/>
            </w:tcBorders>
          </w:tcPr>
          <w:p w:rsidR="006A0F37" w:rsidRPr="000E37A0" w:rsidRDefault="003202BE" w:rsidP="00486AFE">
            <w:pPr>
              <w:rPr>
                <w:rFonts w:ascii="Calibri" w:hAnsi="Calibri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37465</wp:posOffset>
                  </wp:positionV>
                  <wp:extent cx="885825" cy="1143000"/>
                  <wp:effectExtent l="19050" t="0" r="9525" b="0"/>
                  <wp:wrapTight wrapText="bothSides">
                    <wp:wrapPolygon edited="0">
                      <wp:start x="-465" y="0"/>
                      <wp:lineTo x="-465" y="21240"/>
                      <wp:lineTo x="21832" y="21240"/>
                      <wp:lineTo x="21832" y="0"/>
                      <wp:lineTo x="-465" y="0"/>
                    </wp:wrapPolygon>
                  </wp:wrapTight>
                  <wp:docPr id="3" name="Billede 3" descr="picture-2834-1486931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-2834-1486931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479E" w:rsidRPr="000E37A0">
              <w:rPr>
                <w:rFonts w:ascii="Calibri" w:hAnsi="Calibri" w:cs="Arial"/>
                <w:b/>
                <w:color w:val="0070C0"/>
                <w:sz w:val="28"/>
                <w:szCs w:val="28"/>
              </w:rPr>
              <w:t>Nyt på personalefronten</w:t>
            </w:r>
            <w:r w:rsidR="00703B82" w:rsidRPr="000E37A0">
              <w:rPr>
                <w:rFonts w:ascii="Calibri" w:hAnsi="Calibri" w:cs="Arial"/>
                <w:b/>
                <w:color w:val="0070C0"/>
                <w:sz w:val="28"/>
                <w:szCs w:val="28"/>
              </w:rPr>
              <w:t xml:space="preserve"> </w:t>
            </w:r>
          </w:p>
          <w:p w:rsidR="00DD19EB" w:rsidRPr="000E37A0" w:rsidRDefault="002512AA" w:rsidP="00486AF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/>
                <w:b/>
                <w:color w:val="0070C0"/>
                <w:sz w:val="23"/>
                <w:szCs w:val="23"/>
              </w:rPr>
            </w:pPr>
            <w:r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S</w:t>
            </w:r>
            <w:r w:rsidR="008F48BA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idsel</w:t>
            </w:r>
            <w:r w:rsidR="00A2479E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 Kloppenburg </w:t>
            </w:r>
            <w:r w:rsidR="00DD19EB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er kommet </w:t>
            </w:r>
            <w:r w:rsidR="008F48BA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ti</w:t>
            </w:r>
            <w:r w:rsidR="008F48BA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l</w:t>
            </w:r>
            <w:r w:rsidR="008F48BA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bage </w:t>
            </w:r>
            <w:r w:rsidR="00DD19EB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fra barsel, </w:t>
            </w:r>
            <w:r w:rsidR="008F48BA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men vi </w:t>
            </w:r>
            <w:r w:rsidR="00DD19EB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mister he</w:t>
            </w:r>
            <w:r w:rsidR="00DD19EB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l</w:t>
            </w:r>
            <w:r w:rsidR="00DD19EB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digvis ikke Bjarne. Sidsel har ne</w:t>
            </w:r>
            <w:r w:rsidR="00DD19EB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m</w:t>
            </w:r>
            <w:r w:rsidR="00DD19EB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lig fået nogle nye </w:t>
            </w:r>
            <w:r w:rsidR="00A2479E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tværgående </w:t>
            </w:r>
            <w:r w:rsidR="00703B8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jur</w:t>
            </w:r>
            <w:r w:rsidR="00703B8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i</w:t>
            </w:r>
            <w:r w:rsidR="00703B8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diske </w:t>
            </w:r>
            <w:r w:rsidR="00DD19EB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opgaver</w:t>
            </w:r>
            <w:r w:rsidR="00703B8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, som hun skal varetage sideløbende med sine HR opg</w:t>
            </w:r>
            <w:r w:rsidR="00703B8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a</w:t>
            </w:r>
            <w:r w:rsidR="00703B8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ver. </w:t>
            </w:r>
          </w:p>
          <w:p w:rsidR="00DD19EB" w:rsidRPr="000E37A0" w:rsidRDefault="00DD19EB" w:rsidP="00486AF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/>
                <w:b/>
                <w:color w:val="0070C0"/>
                <w:sz w:val="23"/>
                <w:szCs w:val="23"/>
              </w:rPr>
            </w:pPr>
            <w:r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Vi ændrer derfor ikke på </w:t>
            </w:r>
            <w:r w:rsidR="00A2479E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fordeli</w:t>
            </w:r>
            <w:r w:rsidR="00A2479E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n</w:t>
            </w:r>
            <w:r w:rsidR="00A2479E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gen af områder nu, </w:t>
            </w:r>
            <w:r w:rsidR="00703B8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så Bjarne og Meltem beholder ansvaret for de centre og drift</w:t>
            </w:r>
            <w:r w:rsidR="00703B8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s</w:t>
            </w:r>
            <w:r w:rsidR="00703B8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steder, de hidtil har serviceret. </w:t>
            </w:r>
          </w:p>
          <w:p w:rsidR="00C20252" w:rsidRPr="000E37A0" w:rsidRDefault="00DD19EB" w:rsidP="00A2479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/>
                <w:b/>
                <w:color w:val="0070C0"/>
                <w:sz w:val="23"/>
                <w:szCs w:val="23"/>
              </w:rPr>
            </w:pPr>
            <w:r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Fra 1. oktober 2018 </w:t>
            </w:r>
            <w:r w:rsidR="00A2479E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er Bjarne </w:t>
            </w:r>
            <w:r w:rsidR="00703B8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dog </w:t>
            </w:r>
            <w:r w:rsidR="00A2479E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kun på kontoret </w:t>
            </w:r>
            <w:r w:rsidR="00A2479E" w:rsidRPr="000E37A0">
              <w:rPr>
                <w:rFonts w:ascii="Calibri" w:hAnsi="Calibri"/>
                <w:b/>
                <w:i/>
                <w:color w:val="0070C0"/>
                <w:sz w:val="23"/>
                <w:szCs w:val="23"/>
              </w:rPr>
              <w:t>tirsdag, onsdag og torsdag</w:t>
            </w:r>
            <w:r w:rsidR="00703B8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, </w:t>
            </w:r>
            <w:r w:rsidR="00486AFE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men </w:t>
            </w:r>
            <w:r w:rsidR="00343DF9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de øvrige dage si</w:t>
            </w:r>
            <w:r w:rsidR="00343DF9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d</w:t>
            </w:r>
            <w:r w:rsidR="00C2025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der Sidsel klar </w:t>
            </w:r>
            <w:r w:rsidR="00343DF9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til at besvare jeres spørgsmål</w:t>
            </w:r>
            <w:r w:rsidR="00C2025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 på l</w:t>
            </w:r>
            <w:r w:rsidR="00C2025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o</w:t>
            </w:r>
            <w:r w:rsidR="00C2025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kalnr.: 73</w:t>
            </w:r>
            <w:r w:rsidR="00E0149A">
              <w:rPr>
                <w:rFonts w:ascii="Calibri" w:hAnsi="Calibri"/>
                <w:b/>
                <w:color w:val="0070C0"/>
                <w:sz w:val="23"/>
                <w:szCs w:val="23"/>
              </w:rPr>
              <w:t>71</w:t>
            </w:r>
            <w:r w:rsidR="00C2025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 eller pr. mail på </w:t>
            </w:r>
            <w:hyperlink r:id="rId11" w:history="1">
              <w:r w:rsidR="00C20252" w:rsidRPr="000E37A0">
                <w:rPr>
                  <w:rStyle w:val="Hyperlink"/>
                  <w:rFonts w:ascii="Calibri" w:hAnsi="Calibri"/>
                  <w:b/>
                  <w:color w:val="0070C0"/>
                  <w:sz w:val="23"/>
                  <w:szCs w:val="23"/>
                </w:rPr>
                <w:t>sklop@ishoj.dk</w:t>
              </w:r>
            </w:hyperlink>
          </w:p>
          <w:p w:rsidR="009A6C1D" w:rsidRPr="00343DF9" w:rsidRDefault="009A6C1D" w:rsidP="00A5115B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/>
                <w:b/>
                <w:color w:val="FF0000"/>
                <w:sz w:val="23"/>
                <w:szCs w:val="23"/>
              </w:rPr>
            </w:pPr>
            <w:r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Vi håber, at I bliver glade for den nye ordning</w:t>
            </w:r>
            <w:r w:rsidR="00C2025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, men</w:t>
            </w:r>
            <w:r w:rsidR="00A5115B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 </w:t>
            </w:r>
            <w:r w:rsidR="00010362">
              <w:rPr>
                <w:rFonts w:ascii="Calibri" w:hAnsi="Calibri"/>
                <w:b/>
                <w:color w:val="0070C0"/>
                <w:sz w:val="23"/>
                <w:szCs w:val="23"/>
              </w:rPr>
              <w:t>ellers må</w:t>
            </w:r>
            <w:r w:rsidR="00A5115B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 I</w:t>
            </w:r>
            <w:r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 xml:space="preserve"> endelig </w:t>
            </w:r>
            <w:r w:rsidR="00C20252" w:rsidRPr="000E37A0">
              <w:rPr>
                <w:rFonts w:ascii="Calibri" w:hAnsi="Calibri"/>
                <w:b/>
                <w:color w:val="0070C0"/>
                <w:sz w:val="23"/>
                <w:szCs w:val="23"/>
              </w:rPr>
              <w:t>give os en tilbagemelding</w:t>
            </w:r>
            <w:r w:rsidR="00A5115B">
              <w:rPr>
                <w:rFonts w:ascii="Calibri" w:hAnsi="Calibri"/>
                <w:b/>
                <w:color w:val="0070C0"/>
                <w:sz w:val="23"/>
                <w:szCs w:val="23"/>
              </w:rPr>
              <w:t>.</w:t>
            </w:r>
            <w:r w:rsidR="00EE3BA3">
              <w:rPr>
                <w:rFonts w:ascii="Calibri" w:hAnsi="Calibri"/>
                <w:b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0F37" w:rsidRPr="00DD2F3A" w:rsidRDefault="006A0F37" w:rsidP="006A0F37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484259" w:rsidRPr="006D379F" w:rsidRDefault="00484259" w:rsidP="00484259">
            <w:pPr>
              <w:pStyle w:val="NormalWeb"/>
              <w:jc w:val="center"/>
              <w:rPr>
                <w:rFonts w:ascii="Calibri" w:hAnsi="Calibri"/>
                <w:color w:val="C00000"/>
                <w:sz w:val="28"/>
                <w:szCs w:val="28"/>
              </w:rPr>
            </w:pPr>
            <w:r w:rsidRPr="006D379F">
              <w:rPr>
                <w:rStyle w:val="Strk"/>
                <w:rFonts w:ascii="Calibri" w:hAnsi="Calibri"/>
                <w:color w:val="C00000"/>
                <w:sz w:val="28"/>
                <w:szCs w:val="28"/>
              </w:rPr>
              <w:t xml:space="preserve">Efterårets </w:t>
            </w:r>
            <w:r>
              <w:rPr>
                <w:rStyle w:val="Strk"/>
                <w:rFonts w:ascii="Calibri" w:hAnsi="Calibri"/>
                <w:color w:val="C00000"/>
                <w:sz w:val="28"/>
                <w:szCs w:val="28"/>
              </w:rPr>
              <w:t>suppleringsudda</w:t>
            </w:r>
            <w:r>
              <w:rPr>
                <w:rStyle w:val="Strk"/>
                <w:rFonts w:ascii="Calibri" w:hAnsi="Calibri"/>
                <w:color w:val="C00000"/>
                <w:sz w:val="28"/>
                <w:szCs w:val="28"/>
              </w:rPr>
              <w:t>n</w:t>
            </w:r>
            <w:r>
              <w:rPr>
                <w:rStyle w:val="Strk"/>
                <w:rFonts w:ascii="Calibri" w:hAnsi="Calibri"/>
                <w:color w:val="C00000"/>
                <w:sz w:val="28"/>
                <w:szCs w:val="28"/>
              </w:rPr>
              <w:t xml:space="preserve">nelse i arbejdsmiljø </w:t>
            </w:r>
          </w:p>
          <w:p w:rsidR="00484259" w:rsidRPr="008F48BA" w:rsidRDefault="00484259" w:rsidP="00484259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362">
              <w:rPr>
                <w:rFonts w:ascii="Calibri" w:hAnsi="Calibri"/>
                <w:b/>
                <w:color w:val="C00000"/>
                <w:sz w:val="22"/>
                <w:szCs w:val="22"/>
              </w:rPr>
              <w:t>2. oktober</w:t>
            </w:r>
            <w:r w:rsidRPr="008F48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afholdes temadag om konflik</w:t>
            </w:r>
            <w:r w:rsidRPr="008F48BA"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Pr="008F48BA">
              <w:rPr>
                <w:rFonts w:ascii="Calibri" w:hAnsi="Calibri"/>
                <w:b/>
                <w:color w:val="000000"/>
                <w:sz w:val="22"/>
                <w:szCs w:val="22"/>
              </w:rPr>
              <w:t>håndtering</w:t>
            </w:r>
          </w:p>
          <w:p w:rsidR="00010362" w:rsidRDefault="00DA10B2" w:rsidP="00484259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362">
              <w:rPr>
                <w:rFonts w:ascii="Calibri" w:hAnsi="Calibri"/>
                <w:b/>
                <w:color w:val="C00000"/>
                <w:sz w:val="22"/>
                <w:szCs w:val="22"/>
              </w:rPr>
              <w:t>20</w:t>
            </w:r>
            <w:r w:rsidR="00484259" w:rsidRPr="00010362"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. november </w:t>
            </w:r>
            <w:r w:rsidR="00484259" w:rsidRPr="008F48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afholdes </w:t>
            </w:r>
            <w:r w:rsidR="000103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næste </w:t>
            </w:r>
            <w:r w:rsidR="00484259" w:rsidRPr="008F48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teamdag </w:t>
            </w:r>
            <w:r w:rsidR="00010362">
              <w:rPr>
                <w:rFonts w:ascii="Calibri" w:hAnsi="Calibri"/>
                <w:b/>
                <w:color w:val="000000"/>
                <w:sz w:val="22"/>
                <w:szCs w:val="22"/>
              </w:rPr>
              <w:t>– så sæt X i kalenderen (vi arbejdet på progra</w:t>
            </w:r>
            <w:r w:rsidR="00010362"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010362">
              <w:rPr>
                <w:rFonts w:ascii="Calibri" w:hAnsi="Calibri"/>
                <w:b/>
                <w:color w:val="000000"/>
                <w:sz w:val="22"/>
                <w:szCs w:val="22"/>
              </w:rPr>
              <w:t>met…)</w:t>
            </w:r>
          </w:p>
          <w:p w:rsidR="00484259" w:rsidRDefault="00484259" w:rsidP="00484259">
            <w:pPr>
              <w:pStyle w:val="NormalWeb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ge dage i tidsrummet 9.30-11.30</w:t>
            </w:r>
          </w:p>
          <w:p w:rsidR="00010362" w:rsidRDefault="00010362" w:rsidP="00484259">
            <w:pPr>
              <w:pStyle w:val="NormalWeb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Sted: Ishøj Idræts- og Fritidscenter, Vejledalen 17, mødelokalerne 1-3</w:t>
            </w:r>
          </w:p>
          <w:p w:rsidR="00484259" w:rsidRPr="00010362" w:rsidRDefault="00484259" w:rsidP="00484259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3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Tilmelding foregår pr. mail til </w:t>
            </w:r>
            <w:hyperlink r:id="rId12" w:history="1">
              <w:r w:rsidRPr="00010362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cls@ishoj.dk</w:t>
              </w:r>
            </w:hyperlink>
          </w:p>
          <w:p w:rsidR="00D50FC4" w:rsidRPr="00CC3A86" w:rsidRDefault="00484259" w:rsidP="00484259">
            <w:pPr>
              <w:pStyle w:val="NormalWeb"/>
              <w:jc w:val="center"/>
              <w:rPr>
                <w:rFonts w:ascii="Calibri" w:hAnsi="Calibri" w:cs="Arial"/>
                <w:color w:val="C00000"/>
              </w:rPr>
            </w:pPr>
            <w:r w:rsidRPr="00CC3A86">
              <w:rPr>
                <w:rFonts w:ascii="Calibri" w:hAnsi="Calibri"/>
                <w:b/>
                <w:color w:val="C00000"/>
                <w:sz w:val="22"/>
                <w:szCs w:val="22"/>
              </w:rPr>
              <w:t>NB! Dagene er udelukkende for arbejdsmilj</w:t>
            </w:r>
            <w:r w:rsidRPr="00CC3A86">
              <w:rPr>
                <w:rFonts w:ascii="Calibri" w:hAnsi="Calibri"/>
                <w:b/>
                <w:color w:val="C00000"/>
                <w:sz w:val="22"/>
                <w:szCs w:val="22"/>
              </w:rPr>
              <w:t>ø</w:t>
            </w:r>
            <w:r w:rsidRPr="00CC3A86">
              <w:rPr>
                <w:rFonts w:ascii="Calibri" w:hAnsi="Calibri"/>
                <w:b/>
                <w:color w:val="C00000"/>
                <w:sz w:val="22"/>
                <w:szCs w:val="22"/>
              </w:rPr>
              <w:t>repræsentanter og arbejdsmi</w:t>
            </w:r>
            <w:r w:rsidRPr="00CC3A86">
              <w:rPr>
                <w:rFonts w:ascii="Calibri" w:hAnsi="Calibri"/>
                <w:b/>
                <w:color w:val="C00000"/>
                <w:sz w:val="22"/>
                <w:szCs w:val="22"/>
              </w:rPr>
              <w:t>l</w:t>
            </w:r>
            <w:r w:rsidRPr="00CC3A86">
              <w:rPr>
                <w:rFonts w:ascii="Calibri" w:hAnsi="Calibri"/>
                <w:b/>
                <w:color w:val="C00000"/>
                <w:sz w:val="22"/>
                <w:szCs w:val="22"/>
              </w:rPr>
              <w:t>jøledere.</w:t>
            </w:r>
          </w:p>
        </w:tc>
      </w:tr>
    </w:tbl>
    <w:p w:rsidR="00210E90" w:rsidRDefault="006A0F37" w:rsidP="002B0C42">
      <w:pPr>
        <w:tabs>
          <w:tab w:val="center" w:pos="5812"/>
        </w:tabs>
        <w:ind w:left="851"/>
      </w:pPr>
      <w:r>
        <w:t xml:space="preserve"> </w:t>
      </w:r>
      <w:r w:rsidR="002B0C42">
        <w:tab/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D50FC4" w:rsidRPr="007C1126" w:rsidTr="0087485F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D50FC4" w:rsidRPr="007C1126" w:rsidRDefault="00484259" w:rsidP="00010362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84259">
              <w:rPr>
                <w:rFonts w:ascii="Calibri" w:hAnsi="Calibri"/>
                <w:b/>
                <w:color w:val="C00000"/>
                <w:sz w:val="28"/>
                <w:szCs w:val="28"/>
              </w:rPr>
              <w:t>Viden om smerter har stor betydning for arbejdsevnen</w:t>
            </w:r>
            <w:r w:rsidR="00010362">
              <w:rPr>
                <w:rFonts w:ascii="Calibri" w:hAnsi="Calibri"/>
                <w:b/>
                <w:color w:val="C00000"/>
                <w:sz w:val="28"/>
                <w:szCs w:val="28"/>
              </w:rPr>
              <w:br/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De fleste bliver ind imellem ramt af smerter i muskler og led, og godt hver tredje danske beskæftigede o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p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lever smerter flere gange om ugen, viser de seneste tal fra den store undersøgelse ’Arbejdsmiljø og He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l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bred’ fra Det Nationale Forskningscenter for Arbejdsmiljø (NFA). Forskning viser, at et højt niveau af frygt for smerter i sig selv og for, at bevægelse gør dem værre – det, der kaldes ’fear avoidance’ – øger r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i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sikoen for, at vi undgår at bevæge os, når vi har ondt. Dermed øges også risikoen for syge</w:t>
            </w:r>
            <w:r w:rsidR="00CC3A86" w:rsidRPr="00010362">
              <w:rPr>
                <w:rFonts w:ascii="Calibri" w:hAnsi="Calibri" w:cs="Arial"/>
                <w:color w:val="C00000"/>
                <w:sz w:val="22"/>
                <w:szCs w:val="22"/>
              </w:rPr>
              <w:t>melding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 xml:space="preserve"> for at undgå f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y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sisk aktivitet på jobbet. I langt de fleste tilfælde er det meget bedre at holde sig i gang og fortsætte sit a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r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bejde i det omfang, man kan tilpasse te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m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po, løftemængde og så videre. Her har lederen på arbejdspladsen et stort ansvar for, at arbejdsbyrden bliver tilpasset det, den smerteramte medarbejder kan klare. Læs m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>e</w:t>
            </w:r>
            <w:r w:rsidRPr="00010362">
              <w:rPr>
                <w:rFonts w:ascii="Calibri" w:hAnsi="Calibri" w:cs="Arial"/>
                <w:color w:val="C00000"/>
                <w:sz w:val="22"/>
                <w:szCs w:val="22"/>
              </w:rPr>
              <w:t xml:space="preserve">re her </w:t>
            </w:r>
            <w:hyperlink r:id="rId13" w:history="1">
              <w:r w:rsidRPr="00010362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http://nfa.dk/da/nyt/nyheder/2018/viden-om-smerter-har-stor-betydning-for-arbejdsevnen</w:t>
              </w:r>
            </w:hyperlink>
          </w:p>
        </w:tc>
      </w:tr>
    </w:tbl>
    <w:p w:rsidR="00D50FC4" w:rsidRDefault="00D50FC4" w:rsidP="006A0F37">
      <w:pPr>
        <w:ind w:left="851"/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343DF9" w:rsidRPr="007C1126" w:rsidTr="000E37A0">
        <w:tc>
          <w:tcPr>
            <w:tcW w:w="9781" w:type="dxa"/>
            <w:shd w:val="clear" w:color="auto" w:fill="92D050"/>
          </w:tcPr>
          <w:p w:rsidR="00CE5D2C" w:rsidRDefault="003202BE" w:rsidP="00010362">
            <w:pPr>
              <w:overflowPunct/>
              <w:textAlignment w:val="auto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5076190</wp:posOffset>
                  </wp:positionH>
                  <wp:positionV relativeFrom="paragraph">
                    <wp:posOffset>8890</wp:posOffset>
                  </wp:positionV>
                  <wp:extent cx="1040765" cy="1009015"/>
                  <wp:effectExtent l="19050" t="0" r="6985" b="0"/>
                  <wp:wrapNone/>
                  <wp:docPr id="4" name="Billede 4" descr="canstock18536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stock18536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033E" w:rsidRPr="00EE3BA3">
              <w:rPr>
                <w:rFonts w:ascii="Calibri" w:hAnsi="Calibri"/>
                <w:b/>
                <w:sz w:val="40"/>
                <w:szCs w:val="40"/>
              </w:rPr>
              <w:t>Ny ferieaftale pr. 1. september 2020</w:t>
            </w:r>
          </w:p>
          <w:p w:rsidR="00A5115B" w:rsidRDefault="000E37A0" w:rsidP="00CE5D2C">
            <w:pPr>
              <w:overflowPunct/>
              <w:textAlignment w:val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KL</w:t>
            </w:r>
            <w:r w:rsidRPr="000E37A0">
              <w:rPr>
                <w:rFonts w:ascii="Calibri" w:hAnsi="Calibri"/>
                <w:sz w:val="23"/>
                <w:szCs w:val="23"/>
              </w:rPr>
              <w:t xml:space="preserve"> og Forhandlingsfællesskabet er</w:t>
            </w:r>
            <w:r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="00A5115B" w:rsidRPr="00A5115B">
              <w:rPr>
                <w:rFonts w:ascii="Calibri" w:hAnsi="Calibri"/>
                <w:sz w:val="23"/>
                <w:szCs w:val="23"/>
              </w:rPr>
              <w:t>ved overenskomstforhandlingerne</w:t>
            </w:r>
            <w:r w:rsidR="00A5115B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Pr="000E37A0">
              <w:rPr>
                <w:rFonts w:ascii="Calibri" w:hAnsi="Calibri"/>
                <w:sz w:val="23"/>
                <w:szCs w:val="23"/>
              </w:rPr>
              <w:t xml:space="preserve">blevet enige om </w:t>
            </w:r>
          </w:p>
          <w:p w:rsidR="00A5115B" w:rsidRPr="00A5115B" w:rsidRDefault="000E37A0" w:rsidP="00CE5D2C">
            <w:pPr>
              <w:overflowPunct/>
              <w:textAlignment w:val="auto"/>
              <w:rPr>
                <w:rFonts w:ascii="Calibri" w:hAnsi="Calibri"/>
                <w:sz w:val="23"/>
                <w:szCs w:val="23"/>
              </w:rPr>
            </w:pPr>
            <w:r w:rsidRPr="000E37A0">
              <w:rPr>
                <w:rFonts w:ascii="Calibri" w:hAnsi="Calibri"/>
                <w:sz w:val="23"/>
                <w:szCs w:val="23"/>
              </w:rPr>
              <w:t>en ny ferie</w:t>
            </w:r>
            <w:r w:rsidR="00CE5D2C">
              <w:rPr>
                <w:rFonts w:ascii="Calibri" w:hAnsi="Calibri"/>
                <w:sz w:val="23"/>
                <w:szCs w:val="23"/>
              </w:rPr>
              <w:t xml:space="preserve">aftale, der </w:t>
            </w:r>
            <w:proofErr w:type="spellStart"/>
            <w:r w:rsidR="00CE5D2C">
              <w:rPr>
                <w:rFonts w:ascii="Calibri" w:hAnsi="Calibri"/>
                <w:sz w:val="23"/>
                <w:szCs w:val="23"/>
              </w:rPr>
              <w:t>I</w:t>
            </w:r>
            <w:r w:rsidR="00E0149A">
              <w:rPr>
                <w:rFonts w:ascii="Calibri" w:hAnsi="Calibri"/>
                <w:sz w:val="23"/>
                <w:szCs w:val="23"/>
              </w:rPr>
              <w:t>i</w:t>
            </w:r>
            <w:r w:rsidR="00CE5D2C">
              <w:rPr>
                <w:rFonts w:ascii="Calibri" w:hAnsi="Calibri"/>
                <w:sz w:val="23"/>
                <w:szCs w:val="23"/>
              </w:rPr>
              <w:t>mplementerer</w:t>
            </w:r>
            <w:proofErr w:type="spellEnd"/>
            <w:r w:rsidR="00CE5D2C">
              <w:rPr>
                <w:rFonts w:ascii="Calibri" w:hAnsi="Calibri"/>
                <w:sz w:val="23"/>
                <w:szCs w:val="23"/>
              </w:rPr>
              <w:t xml:space="preserve"> den nye ferielov. </w:t>
            </w:r>
          </w:p>
          <w:p w:rsidR="00CE5D2C" w:rsidRDefault="00CE5D2C" w:rsidP="009A6C1D">
            <w:pPr>
              <w:overflowPunct/>
              <w:spacing w:after="107"/>
              <w:textAlignment w:val="auto"/>
              <w:rPr>
                <w:rFonts w:ascii="Calibri" w:hAnsi="Calibri"/>
                <w:sz w:val="23"/>
                <w:szCs w:val="23"/>
              </w:rPr>
            </w:pPr>
          </w:p>
          <w:p w:rsidR="000E37A0" w:rsidRPr="00CE5D2C" w:rsidRDefault="000E37A0" w:rsidP="009A6C1D">
            <w:pPr>
              <w:overflowPunct/>
              <w:spacing w:after="107"/>
              <w:textAlignment w:val="auto"/>
              <w:rPr>
                <w:rFonts w:ascii="Calibri" w:hAnsi="Calibri"/>
                <w:b/>
                <w:sz w:val="23"/>
                <w:szCs w:val="23"/>
              </w:rPr>
            </w:pPr>
            <w:r w:rsidRPr="000E37A0">
              <w:rPr>
                <w:rFonts w:ascii="Calibri" w:hAnsi="Calibri"/>
                <w:sz w:val="23"/>
                <w:szCs w:val="23"/>
              </w:rPr>
              <w:t xml:space="preserve"> I vil få yderligere information om</w:t>
            </w:r>
            <w:r w:rsidR="00CE5D2C">
              <w:rPr>
                <w:rFonts w:ascii="Calibri" w:hAnsi="Calibri"/>
                <w:sz w:val="23"/>
                <w:szCs w:val="23"/>
              </w:rPr>
              <w:t xml:space="preserve"> ændringerne</w:t>
            </w:r>
            <w:r w:rsidRPr="000E37A0">
              <w:rPr>
                <w:rFonts w:ascii="Calibri" w:hAnsi="Calibri"/>
                <w:sz w:val="23"/>
                <w:szCs w:val="23"/>
              </w:rPr>
              <w:t>, når vi nærmer os, men</w:t>
            </w:r>
            <w:r w:rsidR="00CE5D2C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="00CE5D2C" w:rsidRPr="00CE5D2C">
              <w:rPr>
                <w:rFonts w:ascii="Calibri" w:hAnsi="Calibri"/>
                <w:sz w:val="23"/>
                <w:szCs w:val="23"/>
              </w:rPr>
              <w:t>her er de centrale eleme</w:t>
            </w:r>
            <w:r w:rsidR="00CE5D2C" w:rsidRPr="00CE5D2C">
              <w:rPr>
                <w:rFonts w:ascii="Calibri" w:hAnsi="Calibri"/>
                <w:sz w:val="23"/>
                <w:szCs w:val="23"/>
              </w:rPr>
              <w:t>n</w:t>
            </w:r>
            <w:r w:rsidR="00CE5D2C" w:rsidRPr="00CE5D2C">
              <w:rPr>
                <w:rFonts w:ascii="Calibri" w:hAnsi="Calibri"/>
                <w:sz w:val="23"/>
                <w:szCs w:val="23"/>
              </w:rPr>
              <w:t>ter</w:t>
            </w:r>
            <w:r w:rsidR="00CE5D2C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:rsidR="00CE5D2C" w:rsidRDefault="009A6C1D" w:rsidP="009A6C1D">
            <w:pPr>
              <w:overflowPunct/>
              <w:spacing w:after="107"/>
              <w:textAlignment w:val="auto"/>
              <w:rPr>
                <w:rFonts w:ascii="Calibri" w:hAnsi="Calibri"/>
                <w:sz w:val="23"/>
                <w:szCs w:val="23"/>
              </w:rPr>
            </w:pPr>
            <w:r w:rsidRPr="009A6C1D">
              <w:rPr>
                <w:rFonts w:ascii="Calibri" w:hAnsi="Calibri"/>
                <w:sz w:val="23"/>
                <w:szCs w:val="23"/>
              </w:rPr>
              <w:t>•</w:t>
            </w:r>
            <w:r w:rsidR="00CE5D2C" w:rsidRPr="009A6C1D">
              <w:rPr>
                <w:rFonts w:ascii="Calibri" w:hAnsi="Calibri"/>
                <w:sz w:val="23"/>
                <w:szCs w:val="23"/>
              </w:rPr>
              <w:t xml:space="preserve"> Samtidighedsferie fra </w:t>
            </w:r>
            <w:proofErr w:type="gramStart"/>
            <w:r w:rsidR="00CE5D2C" w:rsidRPr="009A6C1D">
              <w:rPr>
                <w:rFonts w:ascii="Calibri" w:hAnsi="Calibri"/>
                <w:sz w:val="23"/>
                <w:szCs w:val="23"/>
              </w:rPr>
              <w:t>1/9-2020</w:t>
            </w:r>
            <w:proofErr w:type="gramEnd"/>
            <w:r w:rsidR="00CE5D2C" w:rsidRPr="009A6C1D">
              <w:rPr>
                <w:rFonts w:ascii="Calibri" w:hAnsi="Calibri"/>
                <w:sz w:val="23"/>
                <w:szCs w:val="23"/>
              </w:rPr>
              <w:t>: Ferie optjenes og afholdes på samme tid i stedet for forskudt</w:t>
            </w:r>
            <w:r w:rsidR="00250DAD">
              <w:rPr>
                <w:rFonts w:ascii="Calibri" w:hAnsi="Calibri"/>
                <w:color w:val="FF0000"/>
                <w:sz w:val="23"/>
                <w:szCs w:val="23"/>
              </w:rPr>
              <w:t>, hvor o</w:t>
            </w:r>
            <w:r w:rsidR="00250DAD">
              <w:rPr>
                <w:rFonts w:ascii="Calibri" w:hAnsi="Calibri"/>
                <w:color w:val="FF0000"/>
                <w:sz w:val="23"/>
                <w:szCs w:val="23"/>
              </w:rPr>
              <w:t>p</w:t>
            </w:r>
            <w:r w:rsidR="00250DAD">
              <w:rPr>
                <w:rFonts w:ascii="Calibri" w:hAnsi="Calibri"/>
                <w:color w:val="FF0000"/>
                <w:sz w:val="23"/>
                <w:szCs w:val="23"/>
              </w:rPr>
              <w:t>tjening er et kalenderår og afholdelse sker fra 1. maj i det efterfølgende år</w:t>
            </w:r>
            <w:r w:rsidR="00A5115B">
              <w:rPr>
                <w:rFonts w:ascii="Calibri" w:hAnsi="Calibri"/>
                <w:sz w:val="23"/>
                <w:szCs w:val="23"/>
              </w:rPr>
              <w:t>.</w:t>
            </w:r>
          </w:p>
          <w:p w:rsidR="009A6C1D" w:rsidRPr="009A6C1D" w:rsidRDefault="00CE5D2C" w:rsidP="00CE5D2C">
            <w:pPr>
              <w:numPr>
                <w:ilvl w:val="0"/>
                <w:numId w:val="19"/>
              </w:numPr>
              <w:overflowPunct/>
              <w:spacing w:after="107"/>
              <w:ind w:hanging="686"/>
              <w:textAlignment w:val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="009A6C1D" w:rsidRPr="009A6C1D">
              <w:rPr>
                <w:rFonts w:ascii="Calibri" w:hAnsi="Calibri"/>
                <w:sz w:val="23"/>
                <w:szCs w:val="23"/>
              </w:rPr>
              <w:t>Nyansatte kan dermed holde ferie</w:t>
            </w:r>
            <w:r w:rsidR="000E37A0">
              <w:rPr>
                <w:rFonts w:ascii="Calibri" w:hAnsi="Calibri"/>
                <w:sz w:val="23"/>
                <w:szCs w:val="23"/>
              </w:rPr>
              <w:t xml:space="preserve"> med løn</w:t>
            </w:r>
            <w:r w:rsidR="009A6C1D" w:rsidRPr="009A6C1D">
              <w:rPr>
                <w:rFonts w:ascii="Calibri" w:hAnsi="Calibri"/>
                <w:sz w:val="23"/>
                <w:szCs w:val="23"/>
              </w:rPr>
              <w:t xml:space="preserve"> allerede det første år</w:t>
            </w:r>
            <w:r w:rsidR="00250DAD">
              <w:rPr>
                <w:rFonts w:ascii="Calibri" w:hAnsi="Calibri"/>
                <w:sz w:val="23"/>
                <w:szCs w:val="23"/>
              </w:rPr>
              <w:t>, uanset om pågældende har optjent ferie eller ej</w:t>
            </w:r>
          </w:p>
          <w:p w:rsidR="009A6C1D" w:rsidRPr="009A6C1D" w:rsidRDefault="009A6C1D" w:rsidP="009A6C1D">
            <w:pPr>
              <w:overflowPunct/>
              <w:spacing w:after="107"/>
              <w:textAlignment w:val="auto"/>
              <w:rPr>
                <w:rFonts w:ascii="Calibri" w:hAnsi="Calibri"/>
                <w:sz w:val="23"/>
                <w:szCs w:val="23"/>
              </w:rPr>
            </w:pPr>
            <w:r w:rsidRPr="009A6C1D">
              <w:rPr>
                <w:rFonts w:ascii="Calibri" w:hAnsi="Calibri"/>
                <w:sz w:val="23"/>
                <w:szCs w:val="23"/>
              </w:rPr>
              <w:t>•</w:t>
            </w:r>
            <w:r w:rsidR="00CE5D2C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A6C1D">
              <w:rPr>
                <w:rFonts w:ascii="Calibri" w:hAnsi="Calibri"/>
                <w:sz w:val="23"/>
                <w:szCs w:val="23"/>
              </w:rPr>
              <w:t>Ny mulighed for at aftale at holde ferie, før den er optjent (forskud</w:t>
            </w:r>
            <w:r w:rsidRPr="009A6C1D">
              <w:rPr>
                <w:rFonts w:ascii="Calibri" w:hAnsi="Calibri"/>
                <w:sz w:val="23"/>
                <w:szCs w:val="23"/>
              </w:rPr>
              <w:t>s</w:t>
            </w:r>
            <w:r w:rsidRPr="009A6C1D">
              <w:rPr>
                <w:rFonts w:ascii="Calibri" w:hAnsi="Calibri"/>
                <w:sz w:val="23"/>
                <w:szCs w:val="23"/>
              </w:rPr>
              <w:t>ferie)</w:t>
            </w:r>
          </w:p>
          <w:p w:rsidR="009A6C1D" w:rsidRPr="009A6C1D" w:rsidRDefault="009A6C1D" w:rsidP="009A6C1D">
            <w:pPr>
              <w:overflowPunct/>
              <w:spacing w:after="107"/>
              <w:textAlignment w:val="auto"/>
              <w:rPr>
                <w:rFonts w:ascii="Calibri" w:hAnsi="Calibri"/>
                <w:sz w:val="23"/>
                <w:szCs w:val="23"/>
              </w:rPr>
            </w:pPr>
            <w:r w:rsidRPr="009A6C1D">
              <w:rPr>
                <w:rFonts w:ascii="Calibri" w:hAnsi="Calibri"/>
                <w:sz w:val="23"/>
                <w:szCs w:val="23"/>
              </w:rPr>
              <w:t>•Fortsat særbestemmelser for elevers ret til b</w:t>
            </w:r>
            <w:r w:rsidRPr="009A6C1D">
              <w:rPr>
                <w:rFonts w:ascii="Calibri" w:hAnsi="Calibri"/>
                <w:sz w:val="23"/>
                <w:szCs w:val="23"/>
              </w:rPr>
              <w:t>e</w:t>
            </w:r>
            <w:r w:rsidRPr="009A6C1D">
              <w:rPr>
                <w:rFonts w:ascii="Calibri" w:hAnsi="Calibri"/>
                <w:sz w:val="23"/>
                <w:szCs w:val="23"/>
              </w:rPr>
              <w:t>talt ferie</w:t>
            </w:r>
          </w:p>
          <w:p w:rsidR="00343DF9" w:rsidRPr="00A5115B" w:rsidRDefault="009A6C1D" w:rsidP="00A5115B">
            <w:pPr>
              <w:overflowPunct/>
              <w:textAlignment w:val="auto"/>
              <w:rPr>
                <w:rFonts w:ascii="Calibri" w:hAnsi="Calibri" w:cs="Calibri"/>
                <w:color w:val="000000"/>
                <w:spacing w:val="0"/>
                <w:sz w:val="56"/>
                <w:szCs w:val="56"/>
              </w:rPr>
            </w:pPr>
            <w:r w:rsidRPr="009A6C1D">
              <w:rPr>
                <w:rFonts w:ascii="Calibri" w:hAnsi="Calibri"/>
                <w:sz w:val="23"/>
                <w:szCs w:val="23"/>
              </w:rPr>
              <w:t xml:space="preserve">•6. ferieuge fortsætter som hidtil: Den optjenes og afholdes </w:t>
            </w:r>
            <w:proofErr w:type="gramStart"/>
            <w:r w:rsidRPr="009A6C1D">
              <w:rPr>
                <w:rFonts w:ascii="Calibri" w:hAnsi="Calibri"/>
                <w:sz w:val="23"/>
                <w:szCs w:val="23"/>
              </w:rPr>
              <w:t xml:space="preserve">forskudt </w:t>
            </w:r>
            <w:r w:rsidR="00250DAD">
              <w:rPr>
                <w:rFonts w:ascii="Calibri" w:hAnsi="Calibri"/>
                <w:sz w:val="23"/>
                <w:szCs w:val="23"/>
              </w:rPr>
              <w:t xml:space="preserve"> som</w:t>
            </w:r>
            <w:proofErr w:type="gramEnd"/>
            <w:r w:rsidR="00250DAD">
              <w:rPr>
                <w:rFonts w:ascii="Calibri" w:hAnsi="Calibri"/>
                <w:sz w:val="23"/>
                <w:szCs w:val="23"/>
              </w:rPr>
              <w:t xml:space="preserve"> i dag</w:t>
            </w:r>
          </w:p>
          <w:p w:rsidR="00343DF9" w:rsidRPr="007C1126" w:rsidRDefault="00343DF9" w:rsidP="009448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43DF9" w:rsidRDefault="00343DF9" w:rsidP="00343DF9">
      <w:pPr>
        <w:ind w:left="851"/>
      </w:pPr>
    </w:p>
    <w:p w:rsidR="000412C5" w:rsidRDefault="000412C5" w:rsidP="00343DF9">
      <w:pPr>
        <w:ind w:left="851"/>
      </w:pPr>
    </w:p>
    <w:p w:rsidR="000412C5" w:rsidRDefault="000412C5" w:rsidP="00343DF9">
      <w:pPr>
        <w:ind w:left="851"/>
      </w:pPr>
    </w:p>
    <w:p w:rsidR="000412C5" w:rsidRDefault="000412C5" w:rsidP="00343DF9">
      <w:pPr>
        <w:ind w:left="851"/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9A6C1D" w:rsidRPr="007C1126" w:rsidTr="00EE3BA3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9A6C1D" w:rsidRPr="00555DC9" w:rsidRDefault="009A6C1D" w:rsidP="0094486E">
            <w:pPr>
              <w:jc w:val="both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</w:p>
          <w:p w:rsidR="009A6C1D" w:rsidRPr="009A6C1D" w:rsidRDefault="009A6C1D" w:rsidP="00C20252">
            <w:pPr>
              <w:overflowPunct/>
              <w:jc w:val="center"/>
              <w:textAlignment w:val="auto"/>
              <w:rPr>
                <w:rFonts w:ascii="Calibri" w:hAnsi="Calibri" w:cs="Calibri"/>
                <w:b/>
                <w:color w:val="000000"/>
                <w:spacing w:val="0"/>
                <w:sz w:val="40"/>
                <w:szCs w:val="40"/>
              </w:rPr>
            </w:pPr>
            <w:r w:rsidRPr="00C20252">
              <w:rPr>
                <w:rFonts w:ascii="Calibri" w:hAnsi="Calibri"/>
                <w:b/>
                <w:sz w:val="40"/>
                <w:szCs w:val="40"/>
              </w:rPr>
              <w:t>Sorgorlov</w:t>
            </w:r>
          </w:p>
          <w:p w:rsidR="00C20252" w:rsidRDefault="00C20252" w:rsidP="00380379">
            <w:pPr>
              <w:jc w:val="both"/>
              <w:rPr>
                <w:rFonts w:ascii="Myriad Pro" w:hAnsi="Myriad Pro"/>
              </w:rPr>
            </w:pPr>
          </w:p>
          <w:p w:rsidR="00380379" w:rsidRDefault="00380379" w:rsidP="0094486E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Den 1. februar 2018 trådte en lovændring vedrørende sorgorlov i kraft. Ændringen betyder, at en far eller medmor på lige fod med mor får ret til 14 ugers sorgorlov ved dødfødsel, død eller bor</w:t>
            </w:r>
            <w:r>
              <w:rPr>
                <w:rFonts w:ascii="Myriad Pro" w:hAnsi="Myriad Pro"/>
              </w:rPr>
              <w:t>t</w:t>
            </w:r>
            <w:r>
              <w:rPr>
                <w:rFonts w:ascii="Myriad Pro" w:hAnsi="Myriad Pro"/>
              </w:rPr>
              <w:t>adoption, inden barnet er 32 uger. Desuden giver loven nu samme fraværsret til begge adopta</w:t>
            </w:r>
            <w:r>
              <w:rPr>
                <w:rFonts w:ascii="Myriad Pro" w:hAnsi="Myriad Pro"/>
              </w:rPr>
              <w:t>n</w:t>
            </w:r>
            <w:r>
              <w:rPr>
                <w:rFonts w:ascii="Myriad Pro" w:hAnsi="Myriad Pro"/>
              </w:rPr>
              <w:t>ter, hvis barnet dør inden 32 uger efter modtagelsen.</w:t>
            </w:r>
            <w:r>
              <w:rPr>
                <w:rFonts w:ascii="Myriad Pro" w:hAnsi="Myriad Pro"/>
              </w:rPr>
              <w:br/>
            </w:r>
            <w:r>
              <w:rPr>
                <w:rFonts w:ascii="Myriad Pro" w:hAnsi="Myriad Pro"/>
              </w:rPr>
              <w:br/>
            </w:r>
            <w:r w:rsidR="00731ED0">
              <w:rPr>
                <w:rFonts w:ascii="Myriad Pro" w:hAnsi="Myriad Pro"/>
              </w:rPr>
              <w:t>Pt. giver lovændringen dog kun ret til fravær med dag</w:t>
            </w:r>
            <w:r w:rsidR="0061033E">
              <w:rPr>
                <w:rFonts w:ascii="Myriad Pro" w:hAnsi="Myriad Pro"/>
              </w:rPr>
              <w:t>penge. V</w:t>
            </w:r>
            <w:r w:rsidR="00731ED0">
              <w:rPr>
                <w:rFonts w:ascii="Myriad Pro" w:hAnsi="Myriad Pro"/>
              </w:rPr>
              <w:t>ed overen</w:t>
            </w:r>
            <w:r w:rsidR="00731ED0">
              <w:rPr>
                <w:rFonts w:ascii="Myriad Pro" w:hAnsi="Myriad Pro"/>
              </w:rPr>
              <w:t>s</w:t>
            </w:r>
            <w:r w:rsidR="00731ED0">
              <w:rPr>
                <w:rFonts w:ascii="Myriad Pro" w:hAnsi="Myriad Pro"/>
              </w:rPr>
              <w:t>komstforhandlingerne</w:t>
            </w:r>
            <w:r w:rsidR="0061033E">
              <w:rPr>
                <w:rFonts w:ascii="Myriad Pro" w:hAnsi="Myriad Pro"/>
              </w:rPr>
              <w:t xml:space="preserve"> </w:t>
            </w:r>
            <w:r w:rsidR="00731ED0">
              <w:rPr>
                <w:rFonts w:ascii="Myriad Pro" w:hAnsi="Myriad Pro"/>
              </w:rPr>
              <w:t>er</w:t>
            </w:r>
            <w:r w:rsidR="00336582">
              <w:rPr>
                <w:rFonts w:ascii="Myriad Pro" w:hAnsi="Myriad Pro"/>
              </w:rPr>
              <w:t xml:space="preserve"> </w:t>
            </w:r>
            <w:r w:rsidR="00731ED0">
              <w:rPr>
                <w:rFonts w:ascii="Myriad Pro" w:hAnsi="Myriad Pro"/>
              </w:rPr>
              <w:t xml:space="preserve">ændringen blevet indarbejdet i rammeaftale om fravær af familiemæssige årsager, så </w:t>
            </w:r>
            <w:r w:rsidR="00336582">
              <w:rPr>
                <w:rFonts w:ascii="Myriad Pro" w:hAnsi="Myriad Pro"/>
              </w:rPr>
              <w:t xml:space="preserve">fra </w:t>
            </w:r>
            <w:proofErr w:type="gramStart"/>
            <w:r w:rsidR="0061033E">
              <w:rPr>
                <w:rFonts w:ascii="Myriad Pro" w:hAnsi="Myriad Pro"/>
              </w:rPr>
              <w:t xml:space="preserve">den </w:t>
            </w:r>
            <w:r w:rsidR="00731ED0">
              <w:rPr>
                <w:rFonts w:ascii="Myriad Pro" w:hAnsi="Myriad Pro"/>
              </w:rPr>
              <w:t xml:space="preserve"> 1</w:t>
            </w:r>
            <w:proofErr w:type="gramEnd"/>
            <w:r w:rsidR="00731ED0">
              <w:rPr>
                <w:rFonts w:ascii="Myriad Pro" w:hAnsi="Myriad Pro"/>
              </w:rPr>
              <w:t xml:space="preserve">. april 2019 </w:t>
            </w:r>
            <w:r w:rsidR="0061033E">
              <w:rPr>
                <w:rFonts w:ascii="Myriad Pro" w:hAnsi="Myriad Pro"/>
              </w:rPr>
              <w:t xml:space="preserve">ydes der fuld løn under sorgorloven. </w:t>
            </w:r>
          </w:p>
          <w:p w:rsidR="00380379" w:rsidRPr="007C1126" w:rsidRDefault="00380379" w:rsidP="009448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43DF9" w:rsidRDefault="00343DF9" w:rsidP="006A0F37">
      <w:pPr>
        <w:ind w:left="851"/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3261"/>
        <w:gridCol w:w="1985"/>
        <w:gridCol w:w="3150"/>
      </w:tblGrid>
      <w:tr w:rsidR="00276754" w:rsidRPr="007C1126" w:rsidTr="00091E6B">
        <w:trPr>
          <w:trHeight w:val="359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auto"/>
          </w:tcPr>
          <w:p w:rsidR="00276754" w:rsidRPr="00555DC9" w:rsidRDefault="00276754" w:rsidP="00D50FC4">
            <w:pPr>
              <w:jc w:val="both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</w:p>
          <w:p w:rsidR="008F48BA" w:rsidRDefault="003202BE" w:rsidP="008F48BA">
            <w:pPr>
              <w:spacing w:before="100" w:beforeAutospacing="1" w:after="100" w:afterAutospacing="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3682365</wp:posOffset>
                  </wp:positionH>
                  <wp:positionV relativeFrom="paragraph">
                    <wp:posOffset>5080</wp:posOffset>
                  </wp:positionV>
                  <wp:extent cx="428625" cy="1076325"/>
                  <wp:effectExtent l="19050" t="0" r="9525" b="0"/>
                  <wp:wrapNone/>
                  <wp:docPr id="2" name="Billede 2" descr="Gravid EG`s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vid EG`s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8BA" w:rsidRPr="008113E7" w:rsidRDefault="008F48BA" w:rsidP="008F48BA">
            <w:pPr>
              <w:spacing w:before="100" w:beforeAutospacing="1" w:after="100" w:afterAutospacing="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Jordemodersamtaler med gravide medarbejdere</w:t>
            </w:r>
          </w:p>
          <w:p w:rsidR="008F48BA" w:rsidRDefault="008F48BA" w:rsidP="008F48BA">
            <w:pPr>
              <w:spacing w:before="100" w:beforeAutospacing="1" w:after="100" w:afterAutospacing="1"/>
              <w:rPr>
                <w:rFonts w:ascii="Calibri" w:hAnsi="Calibri"/>
                <w:sz w:val="23"/>
                <w:szCs w:val="23"/>
              </w:rPr>
            </w:pPr>
          </w:p>
          <w:p w:rsidR="008F48BA" w:rsidRPr="00182758" w:rsidRDefault="008F48BA" w:rsidP="008F48BA">
            <w:pPr>
              <w:spacing w:before="100" w:beforeAutospacing="1" w:after="100" w:afterAutospacing="1"/>
              <w:rPr>
                <w:rFonts w:ascii="Calibri" w:hAnsi="Calibri"/>
                <w:sz w:val="23"/>
                <w:szCs w:val="23"/>
              </w:rPr>
            </w:pPr>
            <w:r w:rsidRPr="00182758">
              <w:rPr>
                <w:rFonts w:ascii="Calibri" w:hAnsi="Calibri"/>
                <w:sz w:val="23"/>
                <w:szCs w:val="23"/>
              </w:rPr>
              <w:t xml:space="preserve">Ishøj kommune ønsker at øge gravide ansattes trivsel og måske endda nedbringe deres sygefravær. </w:t>
            </w:r>
            <w:r>
              <w:rPr>
                <w:rFonts w:ascii="Calibri" w:hAnsi="Calibri"/>
                <w:sz w:val="23"/>
                <w:szCs w:val="23"/>
              </w:rPr>
              <w:t>De</w:t>
            </w:r>
            <w:r>
              <w:rPr>
                <w:rFonts w:ascii="Calibri" w:hAnsi="Calibri"/>
                <w:sz w:val="23"/>
                <w:szCs w:val="23"/>
              </w:rPr>
              <w:t>r</w:t>
            </w:r>
            <w:r>
              <w:rPr>
                <w:rFonts w:ascii="Calibri" w:hAnsi="Calibri"/>
                <w:sz w:val="23"/>
                <w:szCs w:val="23"/>
              </w:rPr>
              <w:t xml:space="preserve">for har </w:t>
            </w:r>
            <w:r w:rsidRPr="00182758">
              <w:rPr>
                <w:rFonts w:ascii="Calibri" w:hAnsi="Calibri"/>
                <w:sz w:val="23"/>
                <w:szCs w:val="23"/>
              </w:rPr>
              <w:t>gravid</w:t>
            </w:r>
            <w:r>
              <w:rPr>
                <w:rFonts w:ascii="Calibri" w:hAnsi="Calibri"/>
                <w:sz w:val="23"/>
                <w:szCs w:val="23"/>
              </w:rPr>
              <w:t>e</w:t>
            </w:r>
            <w:r w:rsidRPr="00182758">
              <w:rPr>
                <w:rFonts w:ascii="Calibri" w:hAnsi="Calibri"/>
                <w:sz w:val="23"/>
                <w:szCs w:val="23"/>
              </w:rPr>
              <w:t xml:space="preserve"> medarbejder</w:t>
            </w:r>
            <w:r>
              <w:rPr>
                <w:rFonts w:ascii="Calibri" w:hAnsi="Calibri"/>
                <w:sz w:val="23"/>
                <w:szCs w:val="23"/>
              </w:rPr>
              <w:t>e</w:t>
            </w:r>
            <w:r w:rsidRPr="00182758">
              <w:rPr>
                <w:rFonts w:ascii="Calibri" w:hAnsi="Calibri"/>
                <w:sz w:val="23"/>
                <w:szCs w:val="23"/>
              </w:rPr>
              <w:t xml:space="preserve"> mulighed for samtaler med kommunens egen jo</w:t>
            </w:r>
            <w:r w:rsidRPr="00182758">
              <w:rPr>
                <w:rFonts w:ascii="Calibri" w:hAnsi="Calibri"/>
                <w:sz w:val="23"/>
                <w:szCs w:val="23"/>
              </w:rPr>
              <w:t>r</w:t>
            </w:r>
            <w:r w:rsidRPr="00182758">
              <w:rPr>
                <w:rFonts w:ascii="Calibri" w:hAnsi="Calibri"/>
                <w:sz w:val="23"/>
                <w:szCs w:val="23"/>
              </w:rPr>
              <w:t>demoder. Samtalerne vil være et supplement til den rådgivning der finder sted hos den praktiserende læge og af jordemoderen fra det fødested du er ti</w:t>
            </w:r>
            <w:r w:rsidRPr="00182758">
              <w:rPr>
                <w:rFonts w:ascii="Calibri" w:hAnsi="Calibri"/>
                <w:sz w:val="23"/>
                <w:szCs w:val="23"/>
              </w:rPr>
              <w:t>l</w:t>
            </w:r>
            <w:r w:rsidRPr="00182758">
              <w:rPr>
                <w:rFonts w:ascii="Calibri" w:hAnsi="Calibri"/>
                <w:sz w:val="23"/>
                <w:szCs w:val="23"/>
              </w:rPr>
              <w:t>knyttet.</w:t>
            </w:r>
          </w:p>
          <w:p w:rsidR="008F48BA" w:rsidRPr="00182758" w:rsidRDefault="008F48BA" w:rsidP="008F48BA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182758">
              <w:rPr>
                <w:rFonts w:ascii="Calibri" w:hAnsi="Calibri"/>
                <w:b/>
                <w:sz w:val="22"/>
                <w:szCs w:val="22"/>
              </w:rPr>
              <w:t>Hvornår kan man henvende sig?</w:t>
            </w:r>
            <w:r w:rsidRPr="00182758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Når som helst i graviditeten. Lederen skal bare være gjort bekendt med graviditeten og acceptere brugen af tilbuddet. </w:t>
            </w:r>
          </w:p>
          <w:p w:rsidR="00276754" w:rsidRPr="00276754" w:rsidRDefault="008F48BA" w:rsidP="002512AA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Sådan gør man</w:t>
            </w:r>
            <w:r w:rsidRPr="00182758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Samtalerne aftales ved </w:t>
            </w:r>
            <w:r w:rsidRPr="00182758">
              <w:rPr>
                <w:rFonts w:ascii="Calibri" w:hAnsi="Calibri"/>
                <w:sz w:val="22"/>
                <w:szCs w:val="22"/>
              </w:rPr>
              <w:t>henvende</w:t>
            </w:r>
            <w:r>
              <w:rPr>
                <w:rFonts w:ascii="Calibri" w:hAnsi="Calibri"/>
                <w:sz w:val="22"/>
                <w:szCs w:val="22"/>
              </w:rPr>
              <w:t>lse</w:t>
            </w:r>
            <w:r w:rsidRPr="00182758">
              <w:rPr>
                <w:rFonts w:ascii="Calibri" w:hAnsi="Calibri"/>
                <w:sz w:val="22"/>
                <w:szCs w:val="22"/>
              </w:rPr>
              <w:t xml:space="preserve"> til </w:t>
            </w:r>
            <w:r w:rsidRPr="00182758">
              <w:rPr>
                <w:rFonts w:ascii="Calibri" w:hAnsi="Calibri"/>
                <w:b/>
                <w:sz w:val="22"/>
                <w:szCs w:val="22"/>
              </w:rPr>
              <w:t xml:space="preserve">Gitte Naundrup </w:t>
            </w:r>
            <w:r w:rsidRPr="00182758">
              <w:rPr>
                <w:rFonts w:ascii="Calibri" w:hAnsi="Calibri"/>
                <w:sz w:val="22"/>
                <w:szCs w:val="22"/>
              </w:rPr>
              <w:t>på</w:t>
            </w:r>
            <w:r w:rsidRPr="00182758">
              <w:rPr>
                <w:rFonts w:ascii="Calibri" w:hAnsi="Calibri"/>
                <w:b/>
                <w:sz w:val="22"/>
                <w:szCs w:val="22"/>
              </w:rPr>
              <w:t xml:space="preserve"> telefon 43 57 72 38</w:t>
            </w:r>
            <w:r w:rsidRPr="00182758">
              <w:rPr>
                <w:rFonts w:ascii="Calibri" w:hAnsi="Calibri"/>
                <w:sz w:val="22"/>
                <w:szCs w:val="22"/>
              </w:rPr>
              <w:t xml:space="preserve"> eller </w:t>
            </w:r>
            <w:r w:rsidRPr="00182758">
              <w:rPr>
                <w:rFonts w:ascii="Calibri" w:hAnsi="Calibri"/>
                <w:b/>
                <w:sz w:val="22"/>
                <w:szCs w:val="22"/>
              </w:rPr>
              <w:t xml:space="preserve">via </w:t>
            </w: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82758">
              <w:rPr>
                <w:rFonts w:ascii="Calibri" w:hAnsi="Calibri"/>
                <w:b/>
                <w:sz w:val="22"/>
                <w:szCs w:val="22"/>
              </w:rPr>
              <w:t xml:space="preserve">ail til </w:t>
            </w:r>
            <w:hyperlink r:id="rId16" w:history="1">
              <w:r w:rsidRPr="00182758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gmn@ishoj.dk</w:t>
              </w:r>
            </w:hyperlink>
            <w:r w:rsidRPr="00182758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182758">
              <w:rPr>
                <w:rFonts w:ascii="Calibri" w:hAnsi="Calibri"/>
                <w:sz w:val="22"/>
                <w:szCs w:val="22"/>
              </w:rPr>
              <w:br/>
            </w:r>
            <w:r w:rsidRPr="00182758">
              <w:rPr>
                <w:rFonts w:ascii="Calibri" w:hAnsi="Calibri"/>
                <w:sz w:val="22"/>
                <w:szCs w:val="22"/>
              </w:rPr>
              <w:br/>
              <w:t xml:space="preserve">Samtalerne vil være af 30-45 minutters varighed, er frivillige, fortrolige og vil typisk foregå på rådhuset. </w:t>
            </w:r>
            <w:r w:rsidRPr="00182758">
              <w:rPr>
                <w:rFonts w:ascii="Calibri" w:hAnsi="Calibri"/>
                <w:sz w:val="22"/>
                <w:szCs w:val="22"/>
              </w:rPr>
              <w:br/>
              <w:t>Ledere og medarbejdere er også velkomne til at ringe, hvis der er et graviditetsrelateret spørgsmål.</w:t>
            </w:r>
          </w:p>
        </w:tc>
      </w:tr>
      <w:tr w:rsidR="00276754" w:rsidRPr="00CD030A" w:rsidTr="00091E6B">
        <w:trPr>
          <w:trHeight w:val="70"/>
        </w:trPr>
        <w:tc>
          <w:tcPr>
            <w:tcW w:w="13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76754" w:rsidRPr="00CD030A" w:rsidRDefault="00276754" w:rsidP="00D50F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754" w:rsidRPr="00CD030A" w:rsidRDefault="00276754" w:rsidP="00D50F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754" w:rsidRPr="00CD030A" w:rsidRDefault="00276754" w:rsidP="00D50FC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76754" w:rsidRPr="00CD030A" w:rsidRDefault="00276754" w:rsidP="00D50FC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D030A" w:rsidRDefault="00CD030A" w:rsidP="008F48BA">
      <w:pPr>
        <w:rPr>
          <w:rFonts w:ascii="Calibri" w:hAnsi="Calibri"/>
          <w:sz w:val="22"/>
          <w:szCs w:val="22"/>
        </w:rPr>
      </w:pPr>
    </w:p>
    <w:sectPr w:rsidR="00CD030A" w:rsidSect="00CD030A">
      <w:footerReference w:type="default" r:id="rId17"/>
      <w:type w:val="continuous"/>
      <w:pgSz w:w="11907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29" w:rsidRDefault="003C5C29">
      <w:r>
        <w:separator/>
      </w:r>
    </w:p>
  </w:endnote>
  <w:endnote w:type="continuationSeparator" w:id="0">
    <w:p w:rsidR="003C5C29" w:rsidRDefault="003C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59" w:rsidRPr="00C7015A" w:rsidRDefault="00484259" w:rsidP="00C7015A">
    <w:pPr>
      <w:pStyle w:val="Sidefod"/>
      <w:tabs>
        <w:tab w:val="clear" w:pos="4986"/>
      </w:tabs>
      <w:jc w:val="center"/>
      <w:rPr>
        <w:rFonts w:ascii="Arial" w:hAnsi="Arial" w:cs="Arial"/>
        <w:b/>
        <w:color w:val="808080"/>
        <w:sz w:val="18"/>
        <w:szCs w:val="18"/>
      </w:rPr>
    </w:pPr>
    <w:r w:rsidRPr="00276754">
      <w:rPr>
        <w:b/>
        <w:noProof/>
        <w:color w:val="808080"/>
        <w:sz w:val="20"/>
      </w:rPr>
      <w:t>HR</w:t>
    </w:r>
    <w:r w:rsidRPr="00C7015A">
      <w:rPr>
        <w:rFonts w:ascii="Arial" w:hAnsi="Arial" w:cs="Arial"/>
        <w:b/>
        <w:bCs/>
        <w:color w:val="808080"/>
        <w:sz w:val="18"/>
        <w:szCs w:val="18"/>
      </w:rPr>
      <w:t xml:space="preserve">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Ishøj Store Torv 20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2635 Ishøj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 </w:t>
    </w:r>
    <w:r>
      <w:rPr>
        <w:rFonts w:ascii="Arial" w:hAnsi="Arial" w:cs="Arial"/>
        <w:b/>
        <w:color w:val="808080"/>
        <w:sz w:val="18"/>
        <w:szCs w:val="18"/>
      </w:rPr>
      <w:t>HR</w:t>
    </w:r>
    <w:r w:rsidRPr="00C7015A">
      <w:rPr>
        <w:rFonts w:ascii="Arial" w:hAnsi="Arial" w:cs="Arial"/>
        <w:b/>
        <w:color w:val="808080"/>
        <w:sz w:val="18"/>
        <w:szCs w:val="18"/>
      </w:rPr>
      <w:t>@ishoj.dk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59" w:rsidRDefault="00484259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29" w:rsidRDefault="003C5C29">
      <w:r>
        <w:separator/>
      </w:r>
    </w:p>
  </w:footnote>
  <w:footnote w:type="continuationSeparator" w:id="0">
    <w:p w:rsidR="003C5C29" w:rsidRDefault="003C5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59" w:rsidRDefault="00484259" w:rsidP="003A4304">
    <w:pPr>
      <w:framePr w:w="7921" w:h="477" w:hSpace="180" w:wrap="around" w:vAnchor="page" w:hAnchor="page" w:x="2161" w:y="1391"/>
      <w:rPr>
        <w:rFonts w:ascii="Arial" w:hAnsi="Arial" w:cs="Arial"/>
        <w:sz w:val="32"/>
        <w:szCs w:val="32"/>
      </w:rPr>
    </w:pPr>
    <w:r w:rsidRPr="007377BB">
      <w:rPr>
        <w:rFonts w:ascii="Arial" w:hAnsi="Arial" w:cs="Arial"/>
        <w:sz w:val="32"/>
        <w:szCs w:val="32"/>
      </w:rPr>
      <w:t xml:space="preserve">Nyhedsbrev </w:t>
    </w:r>
    <w:r>
      <w:rPr>
        <w:rFonts w:ascii="Arial" w:hAnsi="Arial" w:cs="Arial"/>
        <w:sz w:val="32"/>
        <w:szCs w:val="32"/>
      </w:rPr>
      <w:t>–</w:t>
    </w:r>
    <w:r w:rsidRPr="007377BB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>september 2018</w:t>
    </w:r>
  </w:p>
  <w:p w:rsidR="00484259" w:rsidRPr="007377BB" w:rsidRDefault="00484259" w:rsidP="003A4304">
    <w:pPr>
      <w:framePr w:w="7921" w:h="477" w:hSpace="180" w:wrap="around" w:vAnchor="page" w:hAnchor="page" w:x="2161" w:y="1391"/>
      <w:rPr>
        <w:rFonts w:ascii="Arial" w:hAnsi="Arial" w:cs="Arial"/>
        <w:sz w:val="32"/>
        <w:szCs w:val="32"/>
      </w:rPr>
    </w:pPr>
    <w:r>
      <w:rPr>
        <w:rFonts w:ascii="Arial" w:hAnsi="Arial" w:cs="Arial"/>
        <w:sz w:val="22"/>
        <w:szCs w:val="22"/>
      </w:rPr>
      <w:t>Center for Ledelse og Strategi</w:t>
    </w:r>
  </w:p>
  <w:p w:rsidR="00484259" w:rsidRDefault="00484259" w:rsidP="003A4304">
    <w:pPr>
      <w:framePr w:w="7921" w:h="477" w:hSpace="180" w:wrap="around" w:vAnchor="page" w:hAnchor="page" w:x="2161" w:y="1391"/>
      <w:rPr>
        <w:rFonts w:ascii="Arial" w:hAnsi="Arial" w:cs="Arial"/>
      </w:rPr>
    </w:pPr>
  </w:p>
  <w:p w:rsidR="00484259" w:rsidRDefault="003202BE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6985</wp:posOffset>
          </wp:positionV>
          <wp:extent cx="5162550" cy="685800"/>
          <wp:effectExtent l="19050" t="0" r="0" b="0"/>
          <wp:wrapNone/>
          <wp:docPr id="1" name="Billede 1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69F"/>
    <w:multiLevelType w:val="hybridMultilevel"/>
    <w:tmpl w:val="4CEC6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75B"/>
    <w:multiLevelType w:val="hybridMultilevel"/>
    <w:tmpl w:val="56BE4E6C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C6411"/>
    <w:multiLevelType w:val="hybridMultilevel"/>
    <w:tmpl w:val="5372ADB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6647C7"/>
    <w:multiLevelType w:val="hybridMultilevel"/>
    <w:tmpl w:val="35E265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A1D"/>
    <w:multiLevelType w:val="hybridMultilevel"/>
    <w:tmpl w:val="0FA0C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846CF"/>
    <w:multiLevelType w:val="hybridMultilevel"/>
    <w:tmpl w:val="85162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E255E"/>
    <w:multiLevelType w:val="hybridMultilevel"/>
    <w:tmpl w:val="A650C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D7A16"/>
    <w:multiLevelType w:val="hybridMultilevel"/>
    <w:tmpl w:val="7C4AB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F6E75"/>
    <w:multiLevelType w:val="hybridMultilevel"/>
    <w:tmpl w:val="910E5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9417F"/>
    <w:multiLevelType w:val="hybridMultilevel"/>
    <w:tmpl w:val="5260A6AA"/>
    <w:lvl w:ilvl="0" w:tplc="DCA0A9D2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5AF1423"/>
    <w:multiLevelType w:val="hybridMultilevel"/>
    <w:tmpl w:val="76089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240AB"/>
    <w:multiLevelType w:val="hybridMultilevel"/>
    <w:tmpl w:val="423A3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97B97"/>
    <w:multiLevelType w:val="hybridMultilevel"/>
    <w:tmpl w:val="41FA9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4145A"/>
    <w:multiLevelType w:val="hybridMultilevel"/>
    <w:tmpl w:val="F5CAE5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C7727"/>
    <w:multiLevelType w:val="multilevel"/>
    <w:tmpl w:val="2E2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D3D61"/>
    <w:multiLevelType w:val="hybridMultilevel"/>
    <w:tmpl w:val="B99AE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A3B52"/>
    <w:multiLevelType w:val="hybridMultilevel"/>
    <w:tmpl w:val="CE82E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B732F"/>
    <w:multiLevelType w:val="hybridMultilevel"/>
    <w:tmpl w:val="773EE932"/>
    <w:lvl w:ilvl="0" w:tplc="5896040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7B4A2AD3"/>
    <w:multiLevelType w:val="multilevel"/>
    <w:tmpl w:val="439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14"/>
  </w:num>
  <w:num w:numId="6">
    <w:abstractNumId w:val="18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5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D4309"/>
    <w:rsid w:val="00010362"/>
    <w:rsid w:val="00014891"/>
    <w:rsid w:val="00021683"/>
    <w:rsid w:val="000412C5"/>
    <w:rsid w:val="00051F40"/>
    <w:rsid w:val="00053FD5"/>
    <w:rsid w:val="00091E6B"/>
    <w:rsid w:val="000937B0"/>
    <w:rsid w:val="00097B4B"/>
    <w:rsid w:val="000A3D19"/>
    <w:rsid w:val="000C20C5"/>
    <w:rsid w:val="000E37A0"/>
    <w:rsid w:val="000F7CBC"/>
    <w:rsid w:val="00121DB3"/>
    <w:rsid w:val="001872FB"/>
    <w:rsid w:val="001B722A"/>
    <w:rsid w:val="001E731E"/>
    <w:rsid w:val="001F4A35"/>
    <w:rsid w:val="00210E90"/>
    <w:rsid w:val="002253E0"/>
    <w:rsid w:val="00250DAD"/>
    <w:rsid w:val="002512AA"/>
    <w:rsid w:val="002548F7"/>
    <w:rsid w:val="00276754"/>
    <w:rsid w:val="00287CD5"/>
    <w:rsid w:val="00293340"/>
    <w:rsid w:val="002B0C42"/>
    <w:rsid w:val="002F1A4D"/>
    <w:rsid w:val="002F4133"/>
    <w:rsid w:val="002F686D"/>
    <w:rsid w:val="0030315B"/>
    <w:rsid w:val="0030388C"/>
    <w:rsid w:val="00311917"/>
    <w:rsid w:val="00315EF6"/>
    <w:rsid w:val="003202BE"/>
    <w:rsid w:val="00320992"/>
    <w:rsid w:val="003229B1"/>
    <w:rsid w:val="00323725"/>
    <w:rsid w:val="00336582"/>
    <w:rsid w:val="0034224B"/>
    <w:rsid w:val="003426E5"/>
    <w:rsid w:val="00343DF9"/>
    <w:rsid w:val="003564EE"/>
    <w:rsid w:val="00380227"/>
    <w:rsid w:val="00380379"/>
    <w:rsid w:val="00386DF7"/>
    <w:rsid w:val="00395069"/>
    <w:rsid w:val="00397C6C"/>
    <w:rsid w:val="003A4304"/>
    <w:rsid w:val="003B54FC"/>
    <w:rsid w:val="003C5C29"/>
    <w:rsid w:val="003D4309"/>
    <w:rsid w:val="00403FDB"/>
    <w:rsid w:val="00413D04"/>
    <w:rsid w:val="00456FC6"/>
    <w:rsid w:val="0046186A"/>
    <w:rsid w:val="00484259"/>
    <w:rsid w:val="00486AFE"/>
    <w:rsid w:val="00494CBA"/>
    <w:rsid w:val="004C3FA2"/>
    <w:rsid w:val="004F233D"/>
    <w:rsid w:val="004F2FA1"/>
    <w:rsid w:val="00503FB9"/>
    <w:rsid w:val="00555DC9"/>
    <w:rsid w:val="00580DC9"/>
    <w:rsid w:val="00593D31"/>
    <w:rsid w:val="00596FA8"/>
    <w:rsid w:val="005A188C"/>
    <w:rsid w:val="005B4BE8"/>
    <w:rsid w:val="00602C91"/>
    <w:rsid w:val="0061033E"/>
    <w:rsid w:val="00641D98"/>
    <w:rsid w:val="006729DA"/>
    <w:rsid w:val="006A0F37"/>
    <w:rsid w:val="006A2A99"/>
    <w:rsid w:val="006D2DB9"/>
    <w:rsid w:val="006D379F"/>
    <w:rsid w:val="006F7A41"/>
    <w:rsid w:val="00703B82"/>
    <w:rsid w:val="00731CEF"/>
    <w:rsid w:val="00731ED0"/>
    <w:rsid w:val="00734480"/>
    <w:rsid w:val="007377BB"/>
    <w:rsid w:val="00776429"/>
    <w:rsid w:val="007E244A"/>
    <w:rsid w:val="00810ED5"/>
    <w:rsid w:val="00827CD5"/>
    <w:rsid w:val="0084331A"/>
    <w:rsid w:val="0087485F"/>
    <w:rsid w:val="00882659"/>
    <w:rsid w:val="008938C4"/>
    <w:rsid w:val="008B19FD"/>
    <w:rsid w:val="008D5317"/>
    <w:rsid w:val="008D79DE"/>
    <w:rsid w:val="008E1BF1"/>
    <w:rsid w:val="008E1EC3"/>
    <w:rsid w:val="008F48BA"/>
    <w:rsid w:val="0090533F"/>
    <w:rsid w:val="00912B83"/>
    <w:rsid w:val="00937679"/>
    <w:rsid w:val="0094486E"/>
    <w:rsid w:val="00950A9D"/>
    <w:rsid w:val="00960CDE"/>
    <w:rsid w:val="009A6C1D"/>
    <w:rsid w:val="009E4BBC"/>
    <w:rsid w:val="00A2479E"/>
    <w:rsid w:val="00A42DCD"/>
    <w:rsid w:val="00A5115B"/>
    <w:rsid w:val="00A5443B"/>
    <w:rsid w:val="00A70A26"/>
    <w:rsid w:val="00A8136C"/>
    <w:rsid w:val="00A91FEB"/>
    <w:rsid w:val="00AA0EE4"/>
    <w:rsid w:val="00AB769A"/>
    <w:rsid w:val="00AC5C51"/>
    <w:rsid w:val="00B05F56"/>
    <w:rsid w:val="00B23D14"/>
    <w:rsid w:val="00B307DB"/>
    <w:rsid w:val="00B44481"/>
    <w:rsid w:val="00BC0BF0"/>
    <w:rsid w:val="00BE3E21"/>
    <w:rsid w:val="00BE4500"/>
    <w:rsid w:val="00C00D34"/>
    <w:rsid w:val="00C20252"/>
    <w:rsid w:val="00C37329"/>
    <w:rsid w:val="00C61221"/>
    <w:rsid w:val="00C670E4"/>
    <w:rsid w:val="00C7015A"/>
    <w:rsid w:val="00C96F69"/>
    <w:rsid w:val="00CB13D3"/>
    <w:rsid w:val="00CC3A86"/>
    <w:rsid w:val="00CD030A"/>
    <w:rsid w:val="00CD030B"/>
    <w:rsid w:val="00CE5D2C"/>
    <w:rsid w:val="00CF2193"/>
    <w:rsid w:val="00D30782"/>
    <w:rsid w:val="00D50FC4"/>
    <w:rsid w:val="00D83ECF"/>
    <w:rsid w:val="00DA10B2"/>
    <w:rsid w:val="00DA1B5B"/>
    <w:rsid w:val="00DA4A4B"/>
    <w:rsid w:val="00DD19EB"/>
    <w:rsid w:val="00DD2F3A"/>
    <w:rsid w:val="00E0149A"/>
    <w:rsid w:val="00E27724"/>
    <w:rsid w:val="00E46F51"/>
    <w:rsid w:val="00E861A1"/>
    <w:rsid w:val="00EA1CB4"/>
    <w:rsid w:val="00ED5722"/>
    <w:rsid w:val="00EE3BA3"/>
    <w:rsid w:val="00F14D50"/>
    <w:rsid w:val="00F868F1"/>
    <w:rsid w:val="00FA2753"/>
    <w:rsid w:val="00FB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868F1"/>
    <w:pPr>
      <w:keepNext/>
      <w:outlineLvl w:val="0"/>
    </w:pPr>
    <w:rPr>
      <w:b/>
      <w:bCs/>
      <w:spacing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F868F1"/>
    <w:pPr>
      <w:keepNext/>
      <w:outlineLvl w:val="1"/>
    </w:pPr>
    <w:rPr>
      <w:spacing w:val="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pPr>
      <w:spacing w:after="120"/>
    </w:pPr>
  </w:style>
  <w:style w:type="paragraph" w:styleId="Sidefod">
    <w:name w:val="footer"/>
    <w:basedOn w:val="Normal"/>
    <w:semiHidden/>
    <w:pPr>
      <w:tabs>
        <w:tab w:val="center" w:pos="4986"/>
        <w:tab w:val="right" w:pos="9972"/>
      </w:tabs>
    </w:pPr>
  </w:style>
  <w:style w:type="table" w:styleId="Tabel-Gitter">
    <w:name w:val="Table Grid"/>
    <w:basedOn w:val="Tabel-Normal"/>
    <w:uiPriority w:val="59"/>
    <w:rsid w:val="00C70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2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character" w:styleId="Strk">
    <w:name w:val="Strong"/>
    <w:basedOn w:val="Standardskrifttypeiafsnit"/>
    <w:uiPriority w:val="22"/>
    <w:qFormat/>
    <w:rsid w:val="00912B83"/>
    <w:rPr>
      <w:b/>
      <w:bCs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868F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868F1"/>
    <w:rPr>
      <w:spacing w:val="-3"/>
      <w:sz w:val="24"/>
    </w:rPr>
  </w:style>
  <w:style w:type="character" w:customStyle="1" w:styleId="Overskrift1Tegn">
    <w:name w:val="Overskrift 1 Tegn"/>
    <w:basedOn w:val="Standardskrifttypeiafsnit"/>
    <w:link w:val="Overskrift1"/>
    <w:rsid w:val="00F868F1"/>
    <w:rPr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rsid w:val="00F868F1"/>
    <w:rPr>
      <w:sz w:val="24"/>
    </w:rPr>
  </w:style>
  <w:style w:type="character" w:styleId="Hyperlink">
    <w:name w:val="Hyperlink"/>
    <w:basedOn w:val="Standardskrifttypeiafsnit"/>
    <w:semiHidden/>
    <w:rsid w:val="00F868F1"/>
    <w:rPr>
      <w:color w:val="0000FF"/>
      <w:u w:val="single"/>
    </w:rPr>
  </w:style>
  <w:style w:type="paragraph" w:customStyle="1" w:styleId="default">
    <w:name w:val="default"/>
    <w:basedOn w:val="Normal"/>
    <w:rsid w:val="002548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F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F3A"/>
    <w:rPr>
      <w:rFonts w:ascii="Tahoma" w:hAnsi="Tahoma" w:cs="Tahoma"/>
      <w:spacing w:val="-3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rsid w:val="00602C91"/>
    <w:pPr>
      <w:overflowPunct/>
      <w:autoSpaceDE/>
      <w:autoSpaceDN/>
      <w:adjustRightInd/>
      <w:textAlignment w:val="auto"/>
    </w:pPr>
    <w:rPr>
      <w:rFonts w:ascii="Calibri" w:eastAsia="Calibri" w:hAnsi="Calibri" w:cs="Calibri"/>
      <w:spacing w:val="0"/>
      <w:sz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02C91"/>
    <w:rPr>
      <w:rFonts w:ascii="Calibri" w:eastAsia="Calibri" w:hAnsi="Calibri" w:cs="Calibri"/>
      <w:lang w:eastAsia="en-US"/>
    </w:rPr>
  </w:style>
  <w:style w:type="character" w:styleId="Fodnotehenvisning">
    <w:name w:val="footnote reference"/>
    <w:basedOn w:val="Standardskrifttypeiafsnit"/>
    <w:uiPriority w:val="99"/>
    <w:rsid w:val="00602C91"/>
    <w:rPr>
      <w:rFonts w:ascii="Times New Roman" w:hAnsi="Times New Roman"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02C9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eastAsia="Calibri"/>
      <w:spacing w:val="0"/>
      <w:szCs w:val="22"/>
      <w:lang w:eastAsia="en-US"/>
    </w:rPr>
  </w:style>
  <w:style w:type="paragraph" w:customStyle="1" w:styleId="Default0">
    <w:name w:val="Default"/>
    <w:rsid w:val="00602C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fa.dk/da/nyt/nyheder/2018/viden-om-smerter-har-stor-betydning-for-arbejdsevn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s@ishoj.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gmn@ishoj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lop@ishoj.d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369D3-9B02-4EAB-A6D2-2886B81F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3923</Characters>
  <Application>Microsoft Office Word</Application>
  <DocSecurity>0</DocSecurity>
  <Lines>32</Lines>
  <Paragraphs>9</Paragraphs>
  <ScaleCrop>false</ScaleCrop>
  <Company>Ishøj kommune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gmn</cp:lastModifiedBy>
  <cp:revision>2</cp:revision>
  <cp:lastPrinted>2012-08-23T11:29:00Z</cp:lastPrinted>
  <dcterms:created xsi:type="dcterms:W3CDTF">2018-09-27T13:17:00Z</dcterms:created>
  <dcterms:modified xsi:type="dcterms:W3CDTF">2018-09-27T13:17:00Z</dcterms:modified>
</cp:coreProperties>
</file>