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5B" w:rsidRPr="00741488" w:rsidRDefault="009A23D2" w:rsidP="009A23D2">
      <w:pPr>
        <w:pStyle w:val="Brdtekstindrykning"/>
        <w:ind w:left="1276"/>
        <w:rPr>
          <w:i/>
        </w:rPr>
      </w:pPr>
      <w:r>
        <w:rPr>
          <w:i/>
        </w:rPr>
        <w:t>Til direktionen, centerchefer</w:t>
      </w:r>
      <w:r w:rsidR="000B605B" w:rsidRPr="00741488">
        <w:rPr>
          <w:i/>
        </w:rPr>
        <w:t xml:space="preserve"> og ledere af driftsstederne,</w:t>
      </w:r>
    </w:p>
    <w:p w:rsidR="00B164C3" w:rsidRDefault="00B164C3" w:rsidP="000B605B">
      <w:pPr>
        <w:ind w:left="1276"/>
        <w:rPr>
          <w:rFonts w:ascii="Arial" w:hAnsi="Arial"/>
        </w:rPr>
        <w:sectPr w:rsidR="00B164C3">
          <w:headerReference w:type="default" r:id="rId8"/>
          <w:footerReference w:type="default" r:id="rId9"/>
          <w:pgSz w:w="11907" w:h="16840"/>
          <w:pgMar w:top="567" w:right="567" w:bottom="567" w:left="567" w:header="708" w:footer="708" w:gutter="0"/>
          <w:cols w:space="708"/>
        </w:sectPr>
      </w:pPr>
    </w:p>
    <w:p w:rsidR="000B605B" w:rsidRDefault="000B605B" w:rsidP="00E64859">
      <w:pPr>
        <w:tabs>
          <w:tab w:val="left" w:pos="8647"/>
        </w:tabs>
        <w:ind w:left="284"/>
        <w:rPr>
          <w:b/>
          <w:sz w:val="36"/>
          <w:szCs w:val="36"/>
        </w:rPr>
      </w:pPr>
    </w:p>
    <w:p w:rsidR="00C1534F" w:rsidRPr="00E64859" w:rsidRDefault="00240BE0" w:rsidP="00E64859">
      <w:pPr>
        <w:tabs>
          <w:tab w:val="left" w:pos="8647"/>
        </w:tabs>
        <w:ind w:left="284"/>
        <w:rPr>
          <w:b/>
          <w:sz w:val="36"/>
          <w:szCs w:val="36"/>
        </w:rPr>
      </w:pPr>
      <w:r>
        <w:rPr>
          <w:b/>
          <w:sz w:val="36"/>
          <w:szCs w:val="36"/>
        </w:rPr>
        <w:t>Revideret notat om h</w:t>
      </w:r>
      <w:r w:rsidR="004816A5">
        <w:rPr>
          <w:b/>
          <w:sz w:val="36"/>
          <w:szCs w:val="36"/>
        </w:rPr>
        <w:t>åndtering af sager om v</w:t>
      </w:r>
      <w:r w:rsidR="004816A5" w:rsidRPr="004816A5">
        <w:rPr>
          <w:b/>
          <w:sz w:val="36"/>
          <w:szCs w:val="36"/>
        </w:rPr>
        <w:t>old mod ansatte</w:t>
      </w:r>
      <w:r w:rsidR="00672F8D">
        <w:rPr>
          <w:b/>
          <w:sz w:val="36"/>
          <w:szCs w:val="36"/>
        </w:rPr>
        <w:t xml:space="preserve"> – i relation til offererstatningsloven</w:t>
      </w:r>
      <w:r w:rsidR="006172E0">
        <w:rPr>
          <w:rStyle w:val="Fodnotehenvisning"/>
          <w:b/>
          <w:sz w:val="36"/>
          <w:szCs w:val="36"/>
        </w:rPr>
        <w:footnoteReference w:id="1"/>
      </w:r>
    </w:p>
    <w:p w:rsidR="00E64859" w:rsidRPr="00C1534F" w:rsidRDefault="00E64859" w:rsidP="002918CD">
      <w:pPr>
        <w:tabs>
          <w:tab w:val="left" w:pos="8647"/>
        </w:tabs>
        <w:rPr>
          <w:i/>
        </w:rPr>
      </w:pPr>
    </w:p>
    <w:p w:rsidR="00E64859" w:rsidRPr="00E64859" w:rsidRDefault="00E64859" w:rsidP="00AD3F8A">
      <w:pPr>
        <w:tabs>
          <w:tab w:val="left" w:pos="8647"/>
        </w:tabs>
        <w:ind w:left="284"/>
      </w:pPr>
      <w:r>
        <w:t>Højesteret har den 4. september 2018 afsagt en principiel dom, som underkender Ersta</w:t>
      </w:r>
      <w:r>
        <w:t>t</w:t>
      </w:r>
      <w:r>
        <w:t>ningsnævnets praksisændring fra 2014</w:t>
      </w:r>
      <w:r>
        <w:rPr>
          <w:rStyle w:val="Fodnotehenvisning"/>
        </w:rPr>
        <w:footnoteReference w:id="2"/>
      </w:r>
      <w:r>
        <w:t xml:space="preserve">. Som følge heraf har vi revideret vores notat fra </w:t>
      </w:r>
      <w:r w:rsidR="00127061">
        <w:t>februar 2016</w:t>
      </w:r>
      <w:r w:rsidR="0010028A">
        <w:t>.</w:t>
      </w:r>
    </w:p>
    <w:p w:rsidR="00240BE0" w:rsidRPr="00C1534F" w:rsidRDefault="00240BE0" w:rsidP="00E64859">
      <w:pPr>
        <w:tabs>
          <w:tab w:val="left" w:pos="8647"/>
        </w:tabs>
        <w:rPr>
          <w:i/>
        </w:rPr>
      </w:pPr>
    </w:p>
    <w:p w:rsidR="00240BE0" w:rsidRDefault="00240BE0" w:rsidP="00127061">
      <w:pPr>
        <w:tabs>
          <w:tab w:val="left" w:pos="8647"/>
        </w:tabs>
        <w:ind w:left="284"/>
      </w:pPr>
      <w:r w:rsidRPr="00127061">
        <w:t xml:space="preserve">Kort fortalt betyder </w:t>
      </w:r>
      <w:r w:rsidR="00E64859" w:rsidRPr="00127061">
        <w:t>højesterets</w:t>
      </w:r>
      <w:r w:rsidRPr="00127061">
        <w:t xml:space="preserve">dommen, at </w:t>
      </w:r>
      <w:r w:rsidR="00C1534F" w:rsidRPr="00127061">
        <w:t>det ikke</w:t>
      </w:r>
      <w:r w:rsidR="002918CD" w:rsidRPr="00127061">
        <w:t xml:space="preserve"> længere</w:t>
      </w:r>
      <w:r w:rsidR="00C1534F" w:rsidRPr="00127061">
        <w:t xml:space="preserve"> kun er </w:t>
      </w:r>
      <w:r w:rsidR="00C1534F" w:rsidRPr="00127061">
        <w:rPr>
          <w:b/>
        </w:rPr>
        <w:t>individuelle og ko</w:t>
      </w:r>
      <w:r w:rsidR="00C1534F" w:rsidRPr="00127061">
        <w:rPr>
          <w:b/>
        </w:rPr>
        <w:t>n</w:t>
      </w:r>
      <w:r w:rsidR="00C1534F" w:rsidRPr="00127061">
        <w:rPr>
          <w:b/>
        </w:rPr>
        <w:t xml:space="preserve">krete </w:t>
      </w:r>
      <w:r w:rsidR="00C1534F" w:rsidRPr="00127061">
        <w:t>– men nu</w:t>
      </w:r>
      <w:r w:rsidR="006172E0" w:rsidRPr="00127061">
        <w:t xml:space="preserve"> </w:t>
      </w:r>
      <w:r w:rsidR="00C1534F" w:rsidRPr="00127061">
        <w:t xml:space="preserve">også </w:t>
      </w:r>
      <w:r w:rsidR="00C1534F" w:rsidRPr="00127061">
        <w:rPr>
          <w:b/>
        </w:rPr>
        <w:t>generelle</w:t>
      </w:r>
      <w:r w:rsidR="00C455E0" w:rsidRPr="00127061">
        <w:rPr>
          <w:b/>
        </w:rPr>
        <w:t xml:space="preserve"> </w:t>
      </w:r>
      <w:r w:rsidR="00C455E0" w:rsidRPr="00127061">
        <w:t xml:space="preserve">- </w:t>
      </w:r>
      <w:r w:rsidR="00C1534F" w:rsidRPr="00127061">
        <w:t>pædagogiske og behandlingsmæssige hensyn, som kan danne grun</w:t>
      </w:r>
      <w:r w:rsidR="00C1534F" w:rsidRPr="00127061">
        <w:t>d</w:t>
      </w:r>
      <w:r w:rsidR="00C1534F" w:rsidRPr="00127061">
        <w:t>lag for dispensation fra kravet om politianmeldelse.</w:t>
      </w:r>
    </w:p>
    <w:p w:rsidR="001A4132" w:rsidRDefault="001A4132" w:rsidP="00127061">
      <w:pPr>
        <w:tabs>
          <w:tab w:val="left" w:pos="8647"/>
        </w:tabs>
        <w:ind w:left="284"/>
      </w:pPr>
    </w:p>
    <w:p w:rsidR="001A4132" w:rsidRDefault="001A4132" w:rsidP="001A4132">
      <w:pPr>
        <w:tabs>
          <w:tab w:val="left" w:pos="8647"/>
        </w:tabs>
        <w:ind w:left="284"/>
      </w:pPr>
      <w:r w:rsidRPr="001A4132">
        <w:t>Da der ikke er kommet en ny vejledning fra Erstatningsnævnet efter højesteretsdommen fra september 2018, kan det dog ikke vides med sikkerhed hvor store krav Erstatning</w:t>
      </w:r>
      <w:r w:rsidRPr="001A4132">
        <w:t>s</w:t>
      </w:r>
      <w:r w:rsidRPr="001A4132">
        <w:t>nævnet vil stille til vurderingen af de pædagogiske og behandlingsmæssige hensyn i s</w:t>
      </w:r>
      <w:r w:rsidRPr="001A4132">
        <w:t>a</w:t>
      </w:r>
      <w:r w:rsidRPr="001A4132">
        <w:t>gerne fremadrettet</w:t>
      </w:r>
      <w:r>
        <w:t>, så KL anbefaler</w:t>
      </w:r>
      <w:r w:rsidRPr="001A4132">
        <w:t xml:space="preserve"> fortsat at begrunde vurderingen konkret og individ</w:t>
      </w:r>
      <w:r w:rsidRPr="001A4132">
        <w:t>u</w:t>
      </w:r>
      <w:r w:rsidRPr="001A4132">
        <w:t>elt, for at være på den sikre side.</w:t>
      </w:r>
      <w:r>
        <w:t xml:space="preserve"> </w:t>
      </w:r>
    </w:p>
    <w:p w:rsidR="004015AA" w:rsidRDefault="004015AA" w:rsidP="004E3F86">
      <w:pPr>
        <w:tabs>
          <w:tab w:val="left" w:pos="8647"/>
        </w:tabs>
      </w:pPr>
    </w:p>
    <w:p w:rsidR="00AD3F8A" w:rsidRDefault="006172E0" w:rsidP="006172E0">
      <w:pPr>
        <w:tabs>
          <w:tab w:val="left" w:pos="8647"/>
        </w:tabs>
        <w:ind w:left="284"/>
      </w:pPr>
      <w:r>
        <w:t xml:space="preserve">Det er stadig vigtigt at huske, at </w:t>
      </w:r>
      <w:r w:rsidR="00127061">
        <w:t xml:space="preserve">rettidig </w:t>
      </w:r>
      <w:r w:rsidR="00724333">
        <w:t>politianmeldelse</w:t>
      </w:r>
      <w:r w:rsidR="004E3F86">
        <w:t xml:space="preserve"> </w:t>
      </w:r>
      <w:r w:rsidR="000A590D">
        <w:t>kan have</w:t>
      </w:r>
      <w:r w:rsidR="00724333">
        <w:t xml:space="preserve"> betydning </w:t>
      </w:r>
      <w:r w:rsidR="00AD3F8A">
        <w:t>for meda</w:t>
      </w:r>
      <w:r w:rsidR="00AD3F8A">
        <w:t>r</w:t>
      </w:r>
      <w:r w:rsidR="00AD3F8A">
        <w:t xml:space="preserve">bejdernes mulighed for at opnå erstatning efter </w:t>
      </w:r>
      <w:r w:rsidR="00AD3F8A" w:rsidRPr="00AD3F8A">
        <w:rPr>
          <w:u w:val="single"/>
        </w:rPr>
        <w:t>offererstatningsloven</w:t>
      </w:r>
      <w:r w:rsidR="00304CF6" w:rsidRPr="009A23D2">
        <w:t>.</w:t>
      </w:r>
      <w:r w:rsidR="00AD3F8A" w:rsidRPr="009A23D2">
        <w:t xml:space="preserve"> </w:t>
      </w:r>
      <w:r w:rsidR="00304CF6" w:rsidRPr="006172E0">
        <w:t>D</w:t>
      </w:r>
      <w:r w:rsidR="004816A5" w:rsidRPr="006172E0">
        <w:t>et</w:t>
      </w:r>
      <w:r w:rsidR="00AD3F8A" w:rsidRPr="006172E0">
        <w:t xml:space="preserve"> har derimod</w:t>
      </w:r>
      <w:r w:rsidR="004816A5" w:rsidRPr="006172E0">
        <w:t xml:space="preserve"> i</w:t>
      </w:r>
      <w:r w:rsidR="004816A5" w:rsidRPr="006172E0">
        <w:t>k</w:t>
      </w:r>
      <w:r w:rsidR="00AD3F8A" w:rsidRPr="006172E0">
        <w:t>ke</w:t>
      </w:r>
      <w:r w:rsidR="004816A5" w:rsidRPr="006172E0">
        <w:t xml:space="preserve"> nogen betydning for </w:t>
      </w:r>
      <w:r w:rsidR="00AD3F8A" w:rsidRPr="006172E0">
        <w:t>medarbejderens mulighed for at opnå arbejdsskadeserstatning.</w:t>
      </w:r>
      <w:r>
        <w:t xml:space="preserve"> </w:t>
      </w:r>
      <w:r w:rsidR="00AD3F8A">
        <w:t>Arbejdssk</w:t>
      </w:r>
      <w:r w:rsidR="00AD3F8A">
        <w:t>a</w:t>
      </w:r>
      <w:r w:rsidR="00AD3F8A">
        <w:t>der skal derfor håndteres</w:t>
      </w:r>
      <w:r w:rsidR="00BF7EF5">
        <w:t xml:space="preserve"> og anmeldes </w:t>
      </w:r>
      <w:r w:rsidR="00AD3F8A">
        <w:t>som hi</w:t>
      </w:r>
      <w:r w:rsidR="00C942D9">
        <w:t>dtil</w:t>
      </w:r>
      <w:r w:rsidR="00240BE0">
        <w:t>.</w:t>
      </w:r>
      <w:r w:rsidR="00AD3F8A">
        <w:t xml:space="preserve"> </w:t>
      </w:r>
    </w:p>
    <w:p w:rsidR="00AD3F8A" w:rsidRDefault="00AD3F8A" w:rsidP="004E3F86">
      <w:pPr>
        <w:tabs>
          <w:tab w:val="left" w:pos="8647"/>
        </w:tabs>
        <w:ind w:left="284"/>
      </w:pPr>
    </w:p>
    <w:p w:rsidR="00C1534F" w:rsidRPr="00FA41BC" w:rsidRDefault="004E3F86" w:rsidP="00FA41BC">
      <w:pPr>
        <w:tabs>
          <w:tab w:val="left" w:pos="8647"/>
        </w:tabs>
        <w:ind w:left="284"/>
        <w:rPr>
          <w:b/>
        </w:rPr>
      </w:pPr>
      <w:r w:rsidRPr="00FA41BC">
        <w:rPr>
          <w:b/>
        </w:rPr>
        <w:t>Hvornår kan man få tilkendt offererstatning?</w:t>
      </w:r>
    </w:p>
    <w:p w:rsidR="00AD3F8A" w:rsidRDefault="004E3F86" w:rsidP="00AD3F8A">
      <w:pPr>
        <w:tabs>
          <w:tab w:val="left" w:pos="1134"/>
        </w:tabs>
        <w:ind w:left="284"/>
      </w:pPr>
      <w:r>
        <w:t xml:space="preserve">En </w:t>
      </w:r>
      <w:r w:rsidR="00C942D9">
        <w:t>ansat</w:t>
      </w:r>
      <w:r w:rsidR="00AD3F8A">
        <w:t xml:space="preserve"> </w:t>
      </w:r>
      <w:r w:rsidR="00C942D9">
        <w:t>har</w:t>
      </w:r>
      <w:r>
        <w:t xml:space="preserve"> kun</w:t>
      </w:r>
      <w:r w:rsidR="00AD3F8A">
        <w:t xml:space="preserve"> mulighed for at opnå erstatning i henhold til offererstatningsloven, hvis der er tale om en skade forvoldt ved en straffelovsovertrædelse</w:t>
      </w:r>
      <w:r w:rsidR="006009C3">
        <w:t xml:space="preserve"> (eller en overtrædelse af tilholdsloven)</w:t>
      </w:r>
      <w:r w:rsidR="00AD3F8A">
        <w:t xml:space="preserve">. </w:t>
      </w:r>
      <w:r w:rsidR="006172E0">
        <w:t>Inden vi vælger at politianmelde skal v</w:t>
      </w:r>
      <w:r w:rsidR="00905834">
        <w:t xml:space="preserve">i skal derfor vurdere, om der er en </w:t>
      </w:r>
      <w:r w:rsidR="00905834" w:rsidRPr="00E601E8">
        <w:rPr>
          <w:b/>
        </w:rPr>
        <w:t>rimeligt begrundet</w:t>
      </w:r>
      <w:r w:rsidR="00905834">
        <w:t xml:space="preserve"> mistanke om, at der er begået en straffelovsovertrædelse</w:t>
      </w:r>
      <w:r w:rsidR="006172E0">
        <w:t>.</w:t>
      </w:r>
    </w:p>
    <w:p w:rsidR="004816A5" w:rsidRDefault="004816A5" w:rsidP="004816A5">
      <w:pPr>
        <w:tabs>
          <w:tab w:val="left" w:pos="1134"/>
        </w:tabs>
      </w:pPr>
    </w:p>
    <w:p w:rsidR="00304CF6" w:rsidRDefault="000A590D" w:rsidP="004E3F86">
      <w:pPr>
        <w:tabs>
          <w:tab w:val="left" w:pos="1134"/>
        </w:tabs>
        <w:ind w:left="284"/>
      </w:pPr>
      <w:r>
        <w:t>Det fremgår</w:t>
      </w:r>
      <w:r w:rsidR="004015AA">
        <w:t xml:space="preserve"> bl.a.</w:t>
      </w:r>
      <w:r>
        <w:t xml:space="preserve"> af Erstatningsnævnets årsberetning</w:t>
      </w:r>
      <w:r w:rsidR="00672F8D">
        <w:t xml:space="preserve"> fra 2014</w:t>
      </w:r>
      <w:r w:rsidR="004015AA">
        <w:t>, at</w:t>
      </w:r>
      <w:r>
        <w:t xml:space="preserve"> </w:t>
      </w:r>
      <w:r w:rsidR="004015AA">
        <w:t>k</w:t>
      </w:r>
      <w:r w:rsidR="009F5D24">
        <w:t xml:space="preserve">un hvor der er tale om en konkret hændelse, der udgør en </w:t>
      </w:r>
      <w:r w:rsidR="009F5D24" w:rsidRPr="00E601E8">
        <w:rPr>
          <w:b/>
        </w:rPr>
        <w:t>klar</w:t>
      </w:r>
      <w:r w:rsidR="009F5D24">
        <w:t xml:space="preserve"> overtrædelse af straffeloven fra f.eks. patie</w:t>
      </w:r>
      <w:r w:rsidR="009F5D24">
        <w:t>n</w:t>
      </w:r>
      <w:r w:rsidR="009F5D24">
        <w:t xml:space="preserve">tens/elevens </w:t>
      </w:r>
      <w:r w:rsidR="00367A45">
        <w:t>side, kan tilskadekomsten dækkes efter offererstatningsloven</w:t>
      </w:r>
      <w:r w:rsidR="004E3F86">
        <w:t>. Det fremgår herudover,</w:t>
      </w:r>
      <w:r>
        <w:t xml:space="preserve"> at s</w:t>
      </w:r>
      <w:r w:rsidR="00304CF6">
        <w:t>kader opstået inden for pleje-, behandlings- og undervisningssektoren, hvor der alene er tale om f.eks. småtjatteri, eller almindelig modstand i forbindelse med en fas</w:t>
      </w:r>
      <w:r w:rsidR="00304CF6">
        <w:t>t</w:t>
      </w:r>
      <w:r w:rsidR="00304CF6">
        <w:t>holdelsessituation, normalt ikke</w:t>
      </w:r>
      <w:r>
        <w:t xml:space="preserve"> vil</w:t>
      </w:r>
      <w:r w:rsidR="00304CF6">
        <w:t xml:space="preserve"> udgøre en strafbar handling, som kan medføre dæ</w:t>
      </w:r>
      <w:r w:rsidR="00304CF6">
        <w:t>k</w:t>
      </w:r>
      <w:r w:rsidR="00304CF6">
        <w:t>ning efter offererstatningsl</w:t>
      </w:r>
      <w:r w:rsidR="00304CF6">
        <w:t>o</w:t>
      </w:r>
      <w:r w:rsidR="00304CF6">
        <w:t>ven.</w:t>
      </w:r>
    </w:p>
    <w:p w:rsidR="006009C3" w:rsidRDefault="006009C3" w:rsidP="006172E0">
      <w:pPr>
        <w:tabs>
          <w:tab w:val="left" w:pos="1134"/>
        </w:tabs>
      </w:pPr>
    </w:p>
    <w:p w:rsidR="00905834" w:rsidRPr="00FA41BC" w:rsidRDefault="002918CD" w:rsidP="004E3F86">
      <w:pPr>
        <w:tabs>
          <w:tab w:val="left" w:pos="1134"/>
        </w:tabs>
        <w:ind w:left="284"/>
        <w:rPr>
          <w:b/>
        </w:rPr>
      </w:pPr>
      <w:r>
        <w:rPr>
          <w:b/>
        </w:rPr>
        <w:t>Dispensation fra kravet om politianmeldelse</w:t>
      </w:r>
    </w:p>
    <w:p w:rsidR="006009C3" w:rsidRDefault="006009C3" w:rsidP="004E3F86">
      <w:pPr>
        <w:tabs>
          <w:tab w:val="left" w:pos="1134"/>
        </w:tabs>
        <w:ind w:left="284"/>
      </w:pPr>
      <w:r>
        <w:t>Tilkendelse af offererstatning kræver som udgangspunkt, at forholdet anme</w:t>
      </w:r>
      <w:r>
        <w:t>l</w:t>
      </w:r>
      <w:r>
        <w:t xml:space="preserve">des </w:t>
      </w:r>
      <w:r w:rsidR="00F0737D">
        <w:t xml:space="preserve">til politiet </w:t>
      </w:r>
      <w:r>
        <w:t>inden for 72 timer.</w:t>
      </w:r>
    </w:p>
    <w:p w:rsidR="00671F12" w:rsidRDefault="00671F12" w:rsidP="004E3F86">
      <w:pPr>
        <w:tabs>
          <w:tab w:val="left" w:pos="1134"/>
        </w:tabs>
        <w:ind w:left="284"/>
      </w:pPr>
    </w:p>
    <w:p w:rsidR="0096755D" w:rsidRDefault="00671F12" w:rsidP="0096755D">
      <w:pPr>
        <w:tabs>
          <w:tab w:val="left" w:pos="8647"/>
        </w:tabs>
        <w:ind w:left="284"/>
      </w:pPr>
      <w:r>
        <w:t xml:space="preserve">Erstatningsnævnet kan dog dispensere fra kravet om </w:t>
      </w:r>
      <w:r w:rsidR="002918CD">
        <w:t>(</w:t>
      </w:r>
      <w:r>
        <w:t>rettidig</w:t>
      </w:r>
      <w:r w:rsidR="002918CD">
        <w:t>)</w:t>
      </w:r>
      <w:r>
        <w:t xml:space="preserve"> politianmeldelse, når fo</w:t>
      </w:r>
      <w:r>
        <w:t>r</w:t>
      </w:r>
      <w:r>
        <w:t xml:space="preserve">holdene </w:t>
      </w:r>
      <w:r w:rsidR="00F0737D">
        <w:t>taler for det i lyset af pædagogiske og/eller behandlingsmæssige hensyn.</w:t>
      </w:r>
      <w:r w:rsidR="0096755D">
        <w:t xml:space="preserve"> </w:t>
      </w:r>
    </w:p>
    <w:p w:rsidR="00F0737D" w:rsidRDefault="00F0737D" w:rsidP="0096755D">
      <w:pPr>
        <w:tabs>
          <w:tab w:val="left" w:pos="1134"/>
        </w:tabs>
      </w:pPr>
    </w:p>
    <w:p w:rsidR="00C455E0" w:rsidRDefault="00FA41BC" w:rsidP="004E3F86">
      <w:pPr>
        <w:tabs>
          <w:tab w:val="left" w:pos="1134"/>
        </w:tabs>
        <w:ind w:left="284"/>
      </w:pPr>
      <w:r>
        <w:t>For at kunne d</w:t>
      </w:r>
      <w:r w:rsidR="00C455E0">
        <w:t>okumentere</w:t>
      </w:r>
      <w:r w:rsidR="001C5111">
        <w:t xml:space="preserve"> hændelsesforløbet, og</w:t>
      </w:r>
      <w:r w:rsidR="00C455E0">
        <w:t xml:space="preserve"> hvilke overvejelser</w:t>
      </w:r>
      <w:r>
        <w:t xml:space="preserve"> om de pædagogiske og/eller behandlingsmæssige hensyn</w:t>
      </w:r>
      <w:r w:rsidR="00127061">
        <w:t>,</w:t>
      </w:r>
      <w:r>
        <w:t xml:space="preserve"> </w:t>
      </w:r>
      <w:r w:rsidR="00C455E0">
        <w:t>der</w:t>
      </w:r>
      <w:r w:rsidR="00127061">
        <w:t xml:space="preserve"> evt. </w:t>
      </w:r>
      <w:r w:rsidR="00C455E0">
        <w:t xml:space="preserve">ligger til grund for at undlade at anmelde </w:t>
      </w:r>
      <w:r w:rsidR="001C5111">
        <w:t>hændelsen</w:t>
      </w:r>
      <w:r w:rsidR="00C455E0">
        <w:t xml:space="preserve"> til politi</w:t>
      </w:r>
      <w:r w:rsidR="001C5111">
        <w:t>et skal der skrives et notat. Notatet skal gemmes i Insubiz i forbindelse med, at den krænkende hændelse/arbejdsskaden registr</w:t>
      </w:r>
      <w:r w:rsidR="001C5111">
        <w:t>e</w:t>
      </w:r>
      <w:r w:rsidR="001C5111">
        <w:t>res.</w:t>
      </w:r>
    </w:p>
    <w:p w:rsidR="000A590D" w:rsidRDefault="000A590D" w:rsidP="001A4132">
      <w:pPr>
        <w:tabs>
          <w:tab w:val="left" w:pos="1134"/>
        </w:tabs>
      </w:pPr>
    </w:p>
    <w:p w:rsidR="00905834" w:rsidRPr="00FA41BC" w:rsidRDefault="00905834" w:rsidP="004E3F86">
      <w:pPr>
        <w:tabs>
          <w:tab w:val="left" w:pos="1134"/>
        </w:tabs>
        <w:ind w:left="284"/>
        <w:rPr>
          <w:b/>
        </w:rPr>
      </w:pPr>
      <w:r w:rsidRPr="00FA41BC">
        <w:rPr>
          <w:b/>
        </w:rPr>
        <w:t>Ishøj Kommunes holdning</w:t>
      </w:r>
    </w:p>
    <w:p w:rsidR="00240BE0" w:rsidRDefault="000A590D" w:rsidP="00710B7D">
      <w:pPr>
        <w:tabs>
          <w:tab w:val="left" w:pos="1134"/>
        </w:tabs>
        <w:ind w:left="284"/>
      </w:pPr>
      <w:r>
        <w:t>Ishøj Kommu</w:t>
      </w:r>
      <w:r w:rsidR="004015AA">
        <w:t>nes holdning er, at vi øn</w:t>
      </w:r>
      <w:r w:rsidR="004E3F86">
        <w:t xml:space="preserve">sker at </w:t>
      </w:r>
      <w:r w:rsidR="00905834">
        <w:t xml:space="preserve">forebygge at medarbejdere udsættes på vold på arbejdspladsen og </w:t>
      </w:r>
      <w:r w:rsidR="004E3F86">
        <w:t>sikre</w:t>
      </w:r>
      <w:r w:rsidR="00905834">
        <w:t xml:space="preserve"> deres</w:t>
      </w:r>
      <w:r w:rsidR="004E3F86">
        <w:t xml:space="preserve"> retsstilling</w:t>
      </w:r>
      <w:r w:rsidR="00682705">
        <w:t xml:space="preserve"> bedst muligt, hvis de alligevel udsættes for vold.</w:t>
      </w:r>
      <w:r w:rsidR="00240BE0">
        <w:t xml:space="preserve"> Derfor skal vold mod kommunens ansatte som udgangspunkt altid politianmeldes.</w:t>
      </w:r>
    </w:p>
    <w:p w:rsidR="00240BE0" w:rsidRDefault="00240BE0" w:rsidP="00240BE0">
      <w:pPr>
        <w:tabs>
          <w:tab w:val="left" w:pos="1134"/>
        </w:tabs>
      </w:pPr>
    </w:p>
    <w:p w:rsidR="00D57DC0" w:rsidRDefault="004E3F86" w:rsidP="00240BE0">
      <w:pPr>
        <w:tabs>
          <w:tab w:val="left" w:pos="1134"/>
        </w:tabs>
        <w:ind w:left="284"/>
      </w:pPr>
      <w:r>
        <w:t>Omvendt ønsker vi ikke at anmel</w:t>
      </w:r>
      <w:r w:rsidR="00905834">
        <w:t>de borgere</w:t>
      </w:r>
      <w:r w:rsidR="000B605B">
        <w:rPr>
          <w:rStyle w:val="Fodnotehenvisning"/>
        </w:rPr>
        <w:footnoteReference w:id="3"/>
      </w:r>
      <w:r>
        <w:t xml:space="preserve"> til politiet, </w:t>
      </w:r>
      <w:r w:rsidR="00905834">
        <w:t xml:space="preserve">hvis der ikke er grund til det. </w:t>
      </w:r>
    </w:p>
    <w:p w:rsidR="003564BA" w:rsidRDefault="003564BA" w:rsidP="00682705">
      <w:pPr>
        <w:tabs>
          <w:tab w:val="left" w:pos="1134"/>
        </w:tabs>
        <w:ind w:left="284"/>
      </w:pPr>
    </w:p>
    <w:p w:rsidR="003564BA" w:rsidRDefault="00D57DC0" w:rsidP="00D57DC0">
      <w:pPr>
        <w:tabs>
          <w:tab w:val="left" w:pos="1134"/>
        </w:tabs>
        <w:ind w:left="284"/>
      </w:pPr>
      <w:r>
        <w:t xml:space="preserve">Det er i den forbindelse </w:t>
      </w:r>
      <w:r w:rsidR="00240BE0">
        <w:t>værd at nævne</w:t>
      </w:r>
      <w:r>
        <w:t xml:space="preserve">, at vi som kommune (arbejdsgiver) </w:t>
      </w:r>
      <w:r w:rsidRPr="00BF7EF5">
        <w:rPr>
          <w:i/>
        </w:rPr>
        <w:t>kan</w:t>
      </w:r>
      <w:r>
        <w:t xml:space="preserve"> foretage politianmeldelse, men at vi </w:t>
      </w:r>
      <w:r w:rsidRPr="00E601E8">
        <w:rPr>
          <w:b/>
        </w:rPr>
        <w:t>ikke</w:t>
      </w:r>
      <w:r>
        <w:t xml:space="preserve"> har </w:t>
      </w:r>
      <w:r w:rsidRPr="00BF7EF5">
        <w:rPr>
          <w:i/>
        </w:rPr>
        <w:t>pligt</w:t>
      </w:r>
      <w:r>
        <w:t xml:space="preserve"> til det. Herudover har medarbejd</w:t>
      </w:r>
      <w:r w:rsidR="009E76B5">
        <w:t>erne også m</w:t>
      </w:r>
      <w:r w:rsidR="009E76B5">
        <w:t>u</w:t>
      </w:r>
      <w:r w:rsidR="009E76B5">
        <w:t>lighed for selv</w:t>
      </w:r>
      <w:r>
        <w:t xml:space="preserve"> at foretage politianmeldelse som privatpersoner.</w:t>
      </w:r>
    </w:p>
    <w:p w:rsidR="00F0737D" w:rsidRDefault="00F0737D" w:rsidP="004E3F86">
      <w:pPr>
        <w:tabs>
          <w:tab w:val="left" w:pos="1134"/>
        </w:tabs>
        <w:ind w:left="284"/>
      </w:pPr>
    </w:p>
    <w:p w:rsidR="00F0737D" w:rsidRPr="00FA41BC" w:rsidRDefault="00F0737D" w:rsidP="004E3F86">
      <w:pPr>
        <w:tabs>
          <w:tab w:val="left" w:pos="1134"/>
        </w:tabs>
        <w:ind w:left="284"/>
        <w:rPr>
          <w:b/>
        </w:rPr>
      </w:pPr>
      <w:r w:rsidRPr="00FA41BC">
        <w:rPr>
          <w:b/>
        </w:rPr>
        <w:t>Såda</w:t>
      </w:r>
      <w:r w:rsidR="00DD6E18" w:rsidRPr="00FA41BC">
        <w:rPr>
          <w:b/>
        </w:rPr>
        <w:t xml:space="preserve">n </w:t>
      </w:r>
      <w:r w:rsidR="002918CD">
        <w:rPr>
          <w:b/>
        </w:rPr>
        <w:t>sker politianmelde</w:t>
      </w:r>
      <w:r w:rsidR="00E64859">
        <w:rPr>
          <w:b/>
        </w:rPr>
        <w:t>l</w:t>
      </w:r>
      <w:r w:rsidR="002918CD">
        <w:rPr>
          <w:b/>
        </w:rPr>
        <w:t>s</w:t>
      </w:r>
      <w:r w:rsidR="00E64859">
        <w:rPr>
          <w:b/>
        </w:rPr>
        <w:t>e i praksis</w:t>
      </w:r>
    </w:p>
    <w:p w:rsidR="000B605B" w:rsidRPr="000B605B" w:rsidRDefault="00C455E0" w:rsidP="000B605B">
      <w:pPr>
        <w:pStyle w:val="Fodnotetekst"/>
        <w:ind w:left="284"/>
        <w:rPr>
          <w:sz w:val="24"/>
        </w:rPr>
      </w:pPr>
      <w:r w:rsidRPr="000B605B">
        <w:rPr>
          <w:sz w:val="24"/>
        </w:rPr>
        <w:t xml:space="preserve">Hvis I vurderer, at der er grundlag for at anmelde en </w:t>
      </w:r>
      <w:r w:rsidR="00E64859" w:rsidRPr="000B605B">
        <w:rPr>
          <w:sz w:val="24"/>
        </w:rPr>
        <w:t xml:space="preserve">hændelse </w:t>
      </w:r>
      <w:r w:rsidRPr="000B605B">
        <w:rPr>
          <w:sz w:val="24"/>
        </w:rPr>
        <w:t>til politiet</w:t>
      </w:r>
      <w:r w:rsidR="00E64859" w:rsidRPr="000B605B">
        <w:rPr>
          <w:sz w:val="24"/>
        </w:rPr>
        <w:t>,</w:t>
      </w:r>
      <w:r w:rsidRPr="000B605B">
        <w:rPr>
          <w:sz w:val="24"/>
        </w:rPr>
        <w:t xml:space="preserve"> skal I sende et udkast til politianmeldelse til </w:t>
      </w:r>
      <w:r w:rsidR="000B605B" w:rsidRPr="000B605B">
        <w:rPr>
          <w:sz w:val="24"/>
        </w:rPr>
        <w:t xml:space="preserve">politianmeldelse (intet krav til format, men skal indeholde en nærmere beskrivelse af hændelsesforløbet samt kontaktoplysninger på leder) til </w:t>
      </w:r>
      <w:hyperlink r:id="rId10" w:history="1">
        <w:r w:rsidR="000B605B" w:rsidRPr="000B605B">
          <w:rPr>
            <w:sz w:val="24"/>
          </w:rPr>
          <w:t>cls@ishoj.dk</w:t>
        </w:r>
      </w:hyperlink>
      <w:r w:rsidR="000B605B" w:rsidRPr="000B605B">
        <w:rPr>
          <w:sz w:val="24"/>
        </w:rPr>
        <w:t xml:space="preserve"> (Center for Ledelse og Strategi), hvorefter Kommunaldirektø</w:t>
      </w:r>
      <w:r w:rsidR="000B605B">
        <w:rPr>
          <w:sz w:val="24"/>
        </w:rPr>
        <w:t xml:space="preserve">rens sekretær </w:t>
      </w:r>
      <w:r w:rsidR="000B605B" w:rsidRPr="000B605B">
        <w:rPr>
          <w:sz w:val="24"/>
        </w:rPr>
        <w:t>sørger for det praktiske. Driftsstedet modtager efterfølgende en kopi af den fremsendte p</w:t>
      </w:r>
      <w:r w:rsidR="000B605B" w:rsidRPr="000B605B">
        <w:rPr>
          <w:sz w:val="24"/>
        </w:rPr>
        <w:t>o</w:t>
      </w:r>
      <w:r w:rsidR="000B605B" w:rsidRPr="000B605B">
        <w:rPr>
          <w:sz w:val="24"/>
        </w:rPr>
        <w:t>litianmelde</w:t>
      </w:r>
      <w:r w:rsidR="000B605B" w:rsidRPr="000B605B">
        <w:rPr>
          <w:sz w:val="24"/>
        </w:rPr>
        <w:t>l</w:t>
      </w:r>
      <w:r w:rsidR="000B605B" w:rsidRPr="000B605B">
        <w:rPr>
          <w:sz w:val="24"/>
        </w:rPr>
        <w:t>se.</w:t>
      </w:r>
    </w:p>
    <w:p w:rsidR="000B605B" w:rsidRDefault="000B605B" w:rsidP="000B605B">
      <w:pPr>
        <w:tabs>
          <w:tab w:val="left" w:pos="1134"/>
        </w:tabs>
      </w:pPr>
    </w:p>
    <w:p w:rsidR="000A590D" w:rsidRDefault="00672F8D" w:rsidP="004E3F86">
      <w:pPr>
        <w:tabs>
          <w:tab w:val="left" w:pos="1134"/>
        </w:tabs>
        <w:ind w:left="284"/>
      </w:pPr>
      <w:r>
        <w:t>Hvis I</w:t>
      </w:r>
      <w:r w:rsidR="000A590D">
        <w:t xml:space="preserve"> har spørgsmål til ovenstående</w:t>
      </w:r>
      <w:r w:rsidR="00E601E8">
        <w:t>,</w:t>
      </w:r>
      <w:r w:rsidR="000A590D">
        <w:t xml:space="preserve"> </w:t>
      </w:r>
      <w:r w:rsidR="00E601E8">
        <w:t>eller</w:t>
      </w:r>
      <w:r w:rsidR="006172E0">
        <w:t xml:space="preserve"> er i tvivl om</w:t>
      </w:r>
      <w:r w:rsidR="00E601E8">
        <w:t xml:space="preserve"> hvorvidt en konkret sag bør polit</w:t>
      </w:r>
      <w:r w:rsidR="00E601E8">
        <w:t>i</w:t>
      </w:r>
      <w:r w:rsidR="00E601E8">
        <w:t xml:space="preserve">anmeldes, så </w:t>
      </w:r>
      <w:r w:rsidR="000A590D">
        <w:t xml:space="preserve">er I velkommen til at kontakte </w:t>
      </w:r>
      <w:r w:rsidR="00E601E8">
        <w:t>HR</w:t>
      </w:r>
      <w:r w:rsidR="00240BE0">
        <w:t>-konsulenterne i Center for Ledelse og Strategi</w:t>
      </w:r>
      <w:r w:rsidR="000A590D">
        <w:t>.</w:t>
      </w:r>
    </w:p>
    <w:p w:rsidR="00367A45" w:rsidRDefault="00367A45" w:rsidP="004E3F86">
      <w:pPr>
        <w:tabs>
          <w:tab w:val="left" w:pos="1134"/>
        </w:tabs>
        <w:ind w:left="284"/>
      </w:pPr>
    </w:p>
    <w:p w:rsidR="00367A45" w:rsidRDefault="00240BE0" w:rsidP="004E3F86">
      <w:pPr>
        <w:tabs>
          <w:tab w:val="left" w:pos="1134"/>
        </w:tabs>
        <w:ind w:left="284"/>
      </w:pPr>
      <w:r>
        <w:t>Sidsel Kloppenburg</w:t>
      </w:r>
    </w:p>
    <w:p w:rsidR="00561653" w:rsidRDefault="00240BE0" w:rsidP="004E3F86">
      <w:pPr>
        <w:tabs>
          <w:tab w:val="left" w:pos="1134"/>
        </w:tabs>
        <w:ind w:left="284"/>
      </w:pPr>
      <w:r>
        <w:t>Januar 2019</w:t>
      </w:r>
    </w:p>
    <w:p w:rsidR="006009C3" w:rsidRDefault="006009C3" w:rsidP="004816A5">
      <w:pPr>
        <w:tabs>
          <w:tab w:val="left" w:pos="1134"/>
        </w:tabs>
      </w:pPr>
    </w:p>
    <w:p w:rsidR="004015AA" w:rsidRDefault="004015AA" w:rsidP="004816A5">
      <w:pPr>
        <w:tabs>
          <w:tab w:val="left" w:pos="1134"/>
        </w:tabs>
      </w:pPr>
    </w:p>
    <w:sectPr w:rsidR="004015AA">
      <w:headerReference w:type="default" r:id="rId11"/>
      <w:footerReference w:type="default" r:id="rId12"/>
      <w:type w:val="continuous"/>
      <w:pgSz w:w="11907" w:h="16840"/>
      <w:pgMar w:top="567" w:right="1588" w:bottom="567" w:left="158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35" w:rsidRDefault="00C77735">
      <w:r>
        <w:separator/>
      </w:r>
    </w:p>
  </w:endnote>
  <w:endnote w:type="continuationSeparator" w:id="0">
    <w:p w:rsidR="00C77735" w:rsidRDefault="00C77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D2" w:rsidRDefault="001A2C86">
    <w:pPr>
      <w:pStyle w:val="Sidefod"/>
      <w:tabs>
        <w:tab w:val="clear" w:pos="4986"/>
      </w:tabs>
      <w:jc w:val="center"/>
      <w:rPr>
        <w:rFonts w:ascii="Arial" w:hAnsi="Arial" w:cs="Arial"/>
        <w:b/>
        <w:bCs/>
        <w:color w:val="808080"/>
        <w:sz w:val="20"/>
      </w:rPr>
    </w:pPr>
    <w:r>
      <w:rPr>
        <w:noProof/>
        <w:color w:val="808080"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-3705860</wp:posOffset>
          </wp:positionV>
          <wp:extent cx="3816350" cy="4076700"/>
          <wp:effectExtent l="19050" t="0" r="0" b="0"/>
          <wp:wrapNone/>
          <wp:docPr id="2" name="Billede 1" descr="ISHOEJ_LOGO_STREG_graa5 k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HOEJ_LOGO_STREG_graa5 ko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0" cy="407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23D2" w:rsidRDefault="009A23D2" w:rsidP="009A3592">
    <w:pPr>
      <w:pStyle w:val="Sidefod"/>
      <w:tabs>
        <w:tab w:val="clear" w:pos="4986"/>
      </w:tabs>
      <w:jc w:val="center"/>
      <w:rPr>
        <w:rFonts w:ascii="Arial" w:hAnsi="Arial" w:cs="Arial"/>
        <w:color w:val="808080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D2" w:rsidRDefault="009A23D2">
    <w:pPr>
      <w:pStyle w:val="Sidefod"/>
      <w:tabs>
        <w:tab w:val="clear" w:pos="4986"/>
      </w:tabs>
      <w:rPr>
        <w:rFonts w:ascii="Arial" w:hAnsi="Arial" w:cs="Arial"/>
        <w:b/>
        <w:bCs/>
        <w:color w:val="8080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35" w:rsidRDefault="00C77735">
      <w:r>
        <w:separator/>
      </w:r>
    </w:p>
  </w:footnote>
  <w:footnote w:type="continuationSeparator" w:id="0">
    <w:p w:rsidR="00C77735" w:rsidRDefault="00C77735">
      <w:r>
        <w:continuationSeparator/>
      </w:r>
    </w:p>
  </w:footnote>
  <w:footnote w:id="1">
    <w:p w:rsidR="009A23D2" w:rsidRPr="006172E0" w:rsidRDefault="009A23D2" w:rsidP="00C455E0">
      <w:pPr>
        <w:pStyle w:val="Overskrift1"/>
        <w:ind w:left="0"/>
        <w:rPr>
          <w:b w:val="0"/>
          <w:color w:val="222222"/>
          <w:sz w:val="20"/>
        </w:rPr>
      </w:pPr>
      <w:r w:rsidRPr="006172E0">
        <w:rPr>
          <w:rStyle w:val="Fodnotehenvisning"/>
          <w:b w:val="0"/>
          <w:sz w:val="20"/>
        </w:rPr>
        <w:footnoteRef/>
      </w:r>
      <w:r w:rsidRPr="006172E0">
        <w:rPr>
          <w:b w:val="0"/>
          <w:sz w:val="20"/>
        </w:rPr>
        <w:t xml:space="preserve"> </w:t>
      </w:r>
      <w:r w:rsidRPr="006172E0">
        <w:rPr>
          <w:b w:val="0"/>
          <w:color w:val="222222"/>
          <w:sz w:val="20"/>
        </w:rPr>
        <w:t>Lovbeke</w:t>
      </w:r>
      <w:r>
        <w:rPr>
          <w:b w:val="0"/>
          <w:color w:val="222222"/>
          <w:sz w:val="20"/>
        </w:rPr>
        <w:t xml:space="preserve">ndtgørelse 2014-11-18 nr. 1209 </w:t>
      </w:r>
      <w:r w:rsidRPr="006172E0">
        <w:rPr>
          <w:b w:val="0"/>
          <w:color w:val="222222"/>
          <w:sz w:val="20"/>
        </w:rPr>
        <w:t xml:space="preserve">om erstatning fra staten til ofre for forbrydelser </w:t>
      </w:r>
    </w:p>
  </w:footnote>
  <w:footnote w:id="2">
    <w:p w:rsidR="009A23D2" w:rsidRDefault="009A23D2" w:rsidP="00127061">
      <w:pPr>
        <w:tabs>
          <w:tab w:val="left" w:pos="8647"/>
        </w:tabs>
        <w:rPr>
          <w:i/>
        </w:rPr>
      </w:pPr>
      <w:r>
        <w:rPr>
          <w:rStyle w:val="Fodnotehenvisning"/>
        </w:rPr>
        <w:footnoteRef/>
      </w:r>
      <w:r>
        <w:t xml:space="preserve"> </w:t>
      </w:r>
      <w:r w:rsidRPr="00127061">
        <w:rPr>
          <w:sz w:val="20"/>
        </w:rPr>
        <w:t>Erstatningsnævnet havde før 2014 en lempelig praksis for at meddele dispensation fra kravet om politianme</w:t>
      </w:r>
      <w:r w:rsidRPr="00127061">
        <w:rPr>
          <w:sz w:val="20"/>
        </w:rPr>
        <w:t>l</w:t>
      </w:r>
      <w:r w:rsidRPr="00127061">
        <w:rPr>
          <w:sz w:val="20"/>
        </w:rPr>
        <w:t>delse i sager, hvor pædagoger mv. udsættes for vold på deres arbejde. I 2014 ændrede nævnet denne praksis, s</w:t>
      </w:r>
      <w:r w:rsidRPr="00127061">
        <w:rPr>
          <w:sz w:val="20"/>
        </w:rPr>
        <w:t>å</w:t>
      </w:r>
      <w:r w:rsidRPr="00127061">
        <w:rPr>
          <w:sz w:val="20"/>
        </w:rPr>
        <w:t>ledes at dispensation kun blev meddelt, hvis konkrete, individuelle pædagogiske og/eller behandlingsmæssige hensyn vedrørende sk</w:t>
      </w:r>
      <w:r w:rsidRPr="00127061">
        <w:rPr>
          <w:sz w:val="20"/>
        </w:rPr>
        <w:t>a</w:t>
      </w:r>
      <w:r w:rsidRPr="00127061">
        <w:rPr>
          <w:sz w:val="20"/>
        </w:rPr>
        <w:t>devolderen talte imod politianmeldelse.</w:t>
      </w:r>
      <w:r w:rsidRPr="00C1534F">
        <w:rPr>
          <w:i/>
        </w:rPr>
        <w:t xml:space="preserve"> </w:t>
      </w:r>
    </w:p>
    <w:p w:rsidR="009A23D2" w:rsidRDefault="009A23D2">
      <w:pPr>
        <w:pStyle w:val="Fodnotetekst"/>
      </w:pPr>
    </w:p>
  </w:footnote>
  <w:footnote w:id="3">
    <w:p w:rsidR="009A23D2" w:rsidRDefault="009A23D2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rStyle w:val="Fodnotehenvisning"/>
        </w:rPr>
        <w:footnoteRef/>
      </w:r>
      <w:r>
        <w:t xml:space="preserve"> Begrebet borger er en fælles betegnelse </w:t>
      </w:r>
      <w:r w:rsidRPr="005C23C4">
        <w:t>for de mennesker, som medarbejderne kommer i kontakt med ge</w:t>
      </w:r>
      <w:r w:rsidRPr="005C23C4">
        <w:t>n</w:t>
      </w:r>
      <w:r w:rsidRPr="005C23C4">
        <w:t>nem deres arbejde, men som ikke er ansat i virksomheden</w:t>
      </w:r>
      <w:r>
        <w:rPr>
          <w:szCs w:val="24"/>
        </w:rPr>
        <w:t xml:space="preserve">. ”Borgere” omfatter bl.a. </w:t>
      </w:r>
      <w:r w:rsidRPr="005C23C4">
        <w:rPr>
          <w:szCs w:val="24"/>
        </w:rPr>
        <w:t>patienter, beboere, kunder, pår</w:t>
      </w:r>
      <w:r w:rsidRPr="005C23C4">
        <w:rPr>
          <w:szCs w:val="24"/>
        </w:rPr>
        <w:t>ø</w:t>
      </w:r>
      <w:r w:rsidRPr="005C23C4">
        <w:rPr>
          <w:szCs w:val="24"/>
        </w:rPr>
        <w:t>rende, bruge</w:t>
      </w:r>
      <w:r>
        <w:rPr>
          <w:szCs w:val="24"/>
        </w:rPr>
        <w:t xml:space="preserve">re og </w:t>
      </w:r>
      <w:r w:rsidRPr="005C23C4">
        <w:rPr>
          <w:szCs w:val="24"/>
        </w:rPr>
        <w:t>elever</w:t>
      </w:r>
      <w:r>
        <w:rPr>
          <w:szCs w:val="24"/>
        </w:rPr>
        <w:t>. Kilde ”AT-Vejledning D 4.3-4 februar 2018 ”Vold”.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D2" w:rsidRDefault="009A23D2">
    <w:pPr>
      <w:framePr w:w="5464" w:h="477" w:hSpace="180" w:wrap="around" w:vAnchor="page" w:hAnchor="page" w:x="1944" w:y="1391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Center for Ledelse og Strategi</w:t>
    </w:r>
  </w:p>
  <w:p w:rsidR="009A23D2" w:rsidRDefault="009A23D2">
    <w:pPr>
      <w:framePr w:w="5464" w:h="477" w:hSpace="180" w:wrap="around" w:vAnchor="page" w:hAnchor="page" w:x="1944" w:y="1391"/>
      <w:rPr>
        <w:rFonts w:ascii="Arial" w:hAnsi="Arial" w:cs="Arial"/>
      </w:rPr>
    </w:pPr>
  </w:p>
  <w:p w:rsidR="009A23D2" w:rsidRDefault="001A2C86">
    <w:pPr>
      <w:pStyle w:val="Sidehoved"/>
    </w:pPr>
    <w:r>
      <w:rPr>
        <w:noProof/>
      </w:rPr>
      <w:drawing>
        <wp:inline distT="0" distB="0" distL="0" distR="0">
          <wp:extent cx="5162550" cy="685800"/>
          <wp:effectExtent l="19050" t="0" r="0" b="0"/>
          <wp:docPr id="1" name="Billede 1" descr="Ishojgraalys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hojgraalys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23D2" w:rsidRDefault="009A23D2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D2" w:rsidRDefault="009A23D2">
    <w:pPr>
      <w:pStyle w:val="Sidehoved"/>
    </w:pPr>
  </w:p>
  <w:p w:rsidR="009A23D2" w:rsidRDefault="009A23D2">
    <w:pPr>
      <w:pStyle w:val="Sidehoved"/>
    </w:pPr>
  </w:p>
  <w:p w:rsidR="009A23D2" w:rsidRDefault="009A23D2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B04"/>
    <w:multiLevelType w:val="hybridMultilevel"/>
    <w:tmpl w:val="8E70F8E2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9683261"/>
    <w:multiLevelType w:val="hybridMultilevel"/>
    <w:tmpl w:val="CCBE4DC0"/>
    <w:lvl w:ilvl="0" w:tplc="79565D46">
      <w:start w:val="1055"/>
      <w:numFmt w:val="decimal"/>
      <w:lvlText w:val="%1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13AC6"/>
    <w:rsid w:val="000022D7"/>
    <w:rsid w:val="000150DF"/>
    <w:rsid w:val="00022D25"/>
    <w:rsid w:val="00026120"/>
    <w:rsid w:val="00027F37"/>
    <w:rsid w:val="00043C52"/>
    <w:rsid w:val="00064060"/>
    <w:rsid w:val="00067838"/>
    <w:rsid w:val="00076FD5"/>
    <w:rsid w:val="000A4D1A"/>
    <w:rsid w:val="000A590D"/>
    <w:rsid w:val="000B605B"/>
    <w:rsid w:val="000C2301"/>
    <w:rsid w:val="000F12D5"/>
    <w:rsid w:val="0010028A"/>
    <w:rsid w:val="0011542F"/>
    <w:rsid w:val="00127061"/>
    <w:rsid w:val="001631F4"/>
    <w:rsid w:val="00163D41"/>
    <w:rsid w:val="001749A7"/>
    <w:rsid w:val="001842A7"/>
    <w:rsid w:val="00187793"/>
    <w:rsid w:val="00192DF3"/>
    <w:rsid w:val="001A2C86"/>
    <w:rsid w:val="001A4132"/>
    <w:rsid w:val="001C5111"/>
    <w:rsid w:val="001D04BD"/>
    <w:rsid w:val="001D69E9"/>
    <w:rsid w:val="00232B8C"/>
    <w:rsid w:val="00240BE0"/>
    <w:rsid w:val="002533FB"/>
    <w:rsid w:val="00255036"/>
    <w:rsid w:val="002655F6"/>
    <w:rsid w:val="002918CD"/>
    <w:rsid w:val="00297CF6"/>
    <w:rsid w:val="002A3A77"/>
    <w:rsid w:val="002A7937"/>
    <w:rsid w:val="002B4291"/>
    <w:rsid w:val="002D755E"/>
    <w:rsid w:val="00304CF6"/>
    <w:rsid w:val="003123C6"/>
    <w:rsid w:val="0033539B"/>
    <w:rsid w:val="003564BA"/>
    <w:rsid w:val="003569E7"/>
    <w:rsid w:val="00367A45"/>
    <w:rsid w:val="00371F66"/>
    <w:rsid w:val="0038139D"/>
    <w:rsid w:val="00383117"/>
    <w:rsid w:val="003E1F44"/>
    <w:rsid w:val="003E6401"/>
    <w:rsid w:val="003F2B5E"/>
    <w:rsid w:val="003F5ED1"/>
    <w:rsid w:val="003F60AC"/>
    <w:rsid w:val="00400201"/>
    <w:rsid w:val="004015AA"/>
    <w:rsid w:val="0041559E"/>
    <w:rsid w:val="0046181B"/>
    <w:rsid w:val="00474586"/>
    <w:rsid w:val="00480CDE"/>
    <w:rsid w:val="004816A5"/>
    <w:rsid w:val="00493393"/>
    <w:rsid w:val="004A192C"/>
    <w:rsid w:val="004A3DBF"/>
    <w:rsid w:val="004D0F67"/>
    <w:rsid w:val="004D2128"/>
    <w:rsid w:val="004E3F86"/>
    <w:rsid w:val="00513AC6"/>
    <w:rsid w:val="00520D19"/>
    <w:rsid w:val="00524D87"/>
    <w:rsid w:val="00525A5B"/>
    <w:rsid w:val="00561653"/>
    <w:rsid w:val="00575C6B"/>
    <w:rsid w:val="005A12C4"/>
    <w:rsid w:val="005A3249"/>
    <w:rsid w:val="005B10FE"/>
    <w:rsid w:val="005B70FD"/>
    <w:rsid w:val="005E3C23"/>
    <w:rsid w:val="005F2CE5"/>
    <w:rsid w:val="006000C4"/>
    <w:rsid w:val="006009C3"/>
    <w:rsid w:val="00615A59"/>
    <w:rsid w:val="006172E0"/>
    <w:rsid w:val="006177E7"/>
    <w:rsid w:val="00623722"/>
    <w:rsid w:val="00631535"/>
    <w:rsid w:val="00671F12"/>
    <w:rsid w:val="00672F8D"/>
    <w:rsid w:val="00682705"/>
    <w:rsid w:val="006A0A15"/>
    <w:rsid w:val="006C6D82"/>
    <w:rsid w:val="006D332A"/>
    <w:rsid w:val="007042F7"/>
    <w:rsid w:val="00710B7D"/>
    <w:rsid w:val="00724333"/>
    <w:rsid w:val="00741488"/>
    <w:rsid w:val="00793920"/>
    <w:rsid w:val="007B4574"/>
    <w:rsid w:val="007E1D8B"/>
    <w:rsid w:val="007E2E40"/>
    <w:rsid w:val="007F77D9"/>
    <w:rsid w:val="00837721"/>
    <w:rsid w:val="00853D7D"/>
    <w:rsid w:val="00856C37"/>
    <w:rsid w:val="00890B7C"/>
    <w:rsid w:val="008A181D"/>
    <w:rsid w:val="008A7A93"/>
    <w:rsid w:val="008B5739"/>
    <w:rsid w:val="008E1497"/>
    <w:rsid w:val="00905834"/>
    <w:rsid w:val="00932BE5"/>
    <w:rsid w:val="00943572"/>
    <w:rsid w:val="0096755D"/>
    <w:rsid w:val="009722D2"/>
    <w:rsid w:val="00994CFB"/>
    <w:rsid w:val="009A23D2"/>
    <w:rsid w:val="009A3592"/>
    <w:rsid w:val="009C18A1"/>
    <w:rsid w:val="009D4522"/>
    <w:rsid w:val="009E76B5"/>
    <w:rsid w:val="009E7F83"/>
    <w:rsid w:val="009F5D24"/>
    <w:rsid w:val="00A032CD"/>
    <w:rsid w:val="00A073FB"/>
    <w:rsid w:val="00A1304E"/>
    <w:rsid w:val="00A15E5B"/>
    <w:rsid w:val="00A84046"/>
    <w:rsid w:val="00AB284A"/>
    <w:rsid w:val="00AD3F8A"/>
    <w:rsid w:val="00B164C3"/>
    <w:rsid w:val="00B24DF6"/>
    <w:rsid w:val="00B44515"/>
    <w:rsid w:val="00B535E1"/>
    <w:rsid w:val="00B74740"/>
    <w:rsid w:val="00B94BFA"/>
    <w:rsid w:val="00B97AB9"/>
    <w:rsid w:val="00BB0516"/>
    <w:rsid w:val="00BD0450"/>
    <w:rsid w:val="00BF7EF5"/>
    <w:rsid w:val="00C1534F"/>
    <w:rsid w:val="00C167BA"/>
    <w:rsid w:val="00C44F5E"/>
    <w:rsid w:val="00C455E0"/>
    <w:rsid w:val="00C572C5"/>
    <w:rsid w:val="00C7304C"/>
    <w:rsid w:val="00C77735"/>
    <w:rsid w:val="00C920E2"/>
    <w:rsid w:val="00C942D9"/>
    <w:rsid w:val="00CB5F9C"/>
    <w:rsid w:val="00CD52FC"/>
    <w:rsid w:val="00D033B6"/>
    <w:rsid w:val="00D10DE8"/>
    <w:rsid w:val="00D1687D"/>
    <w:rsid w:val="00D24883"/>
    <w:rsid w:val="00D50691"/>
    <w:rsid w:val="00D57DC0"/>
    <w:rsid w:val="00DA0BE7"/>
    <w:rsid w:val="00DB2938"/>
    <w:rsid w:val="00DD2AA9"/>
    <w:rsid w:val="00DD6E18"/>
    <w:rsid w:val="00DF01DF"/>
    <w:rsid w:val="00E435FB"/>
    <w:rsid w:val="00E601E8"/>
    <w:rsid w:val="00E64859"/>
    <w:rsid w:val="00E65F6C"/>
    <w:rsid w:val="00E90734"/>
    <w:rsid w:val="00EC1A66"/>
    <w:rsid w:val="00EC3C44"/>
    <w:rsid w:val="00EC5146"/>
    <w:rsid w:val="00EF0FCC"/>
    <w:rsid w:val="00F00CE3"/>
    <w:rsid w:val="00F0737D"/>
    <w:rsid w:val="00F37757"/>
    <w:rsid w:val="00F4208A"/>
    <w:rsid w:val="00F4455C"/>
    <w:rsid w:val="00F60644"/>
    <w:rsid w:val="00F644E7"/>
    <w:rsid w:val="00F94817"/>
    <w:rsid w:val="00FA41BC"/>
    <w:rsid w:val="00FC5CD2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Overskrift1">
    <w:name w:val="heading 1"/>
    <w:basedOn w:val="Normal"/>
    <w:next w:val="Normal"/>
    <w:qFormat/>
    <w:pPr>
      <w:keepNext/>
      <w:ind w:left="426"/>
      <w:outlineLvl w:val="0"/>
    </w:pPr>
    <w:rPr>
      <w:b/>
      <w:bCs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pPr>
      <w:spacing w:after="120"/>
    </w:pPr>
  </w:style>
  <w:style w:type="paragraph" w:styleId="Sidefod">
    <w:name w:val="footer"/>
    <w:basedOn w:val="Normal"/>
    <w:semiHidden/>
    <w:pPr>
      <w:tabs>
        <w:tab w:val="center" w:pos="4986"/>
        <w:tab w:val="right" w:pos="9972"/>
      </w:tabs>
    </w:pPr>
  </w:style>
  <w:style w:type="paragraph" w:styleId="Brdtekstindrykning">
    <w:name w:val="Body Text Indent"/>
    <w:basedOn w:val="Normal"/>
    <w:semiHidden/>
    <w:pPr>
      <w:ind w:left="426"/>
    </w:pPr>
  </w:style>
  <w:style w:type="paragraph" w:styleId="Brdtekstindrykning2">
    <w:name w:val="Body Text Indent 2"/>
    <w:basedOn w:val="Normal"/>
    <w:semiHidden/>
    <w:pPr>
      <w:ind w:left="426"/>
      <w:jc w:val="both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8270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2705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2705"/>
    <w:rPr>
      <w:spacing w:val="-3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270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2705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27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705"/>
    <w:rPr>
      <w:rFonts w:ascii="Tahoma" w:hAnsi="Tahoma" w:cs="Tahoma"/>
      <w:spacing w:val="-3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172E0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172E0"/>
    <w:rPr>
      <w:spacing w:val="-3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172E0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FA4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cls@ishoj.d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555AB-BA50-43E1-8389-8664A714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4259</CharactersWithSpaces>
  <SharedDoc>false</SharedDoc>
  <HLinks>
    <vt:vector size="6" baseType="variant">
      <vt:variant>
        <vt:i4>8192084</vt:i4>
      </vt:variant>
      <vt:variant>
        <vt:i4>0</vt:i4>
      </vt:variant>
      <vt:variant>
        <vt:i4>0</vt:i4>
      </vt:variant>
      <vt:variant>
        <vt:i4>5</vt:i4>
      </vt:variant>
      <vt:variant>
        <vt:lpwstr>mailto:cls@ishoj.dk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Inge Olsen</dc:creator>
  <cp:lastModifiedBy>gmn</cp:lastModifiedBy>
  <cp:revision>2</cp:revision>
  <cp:lastPrinted>2019-01-08T11:44:00Z</cp:lastPrinted>
  <dcterms:created xsi:type="dcterms:W3CDTF">2019-01-18T12:09:00Z</dcterms:created>
  <dcterms:modified xsi:type="dcterms:W3CDTF">2019-01-18T12:09:00Z</dcterms:modified>
</cp:coreProperties>
</file>