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0133" w:rsidRDefault="00BB0133" w:rsidP="00E67BFA">
      <w:pPr>
        <w:ind w:right="15307"/>
      </w:pPr>
      <w:bookmarkStart w:id="0" w:name="_GoBack"/>
      <w:bookmarkEnd w:id="0"/>
    </w:p>
    <w:p w:rsidR="00BA1CEF" w:rsidRDefault="00BA1CEF" w:rsidP="00E67BFA">
      <w:pPr>
        <w:ind w:right="15307"/>
      </w:pPr>
    </w:p>
    <w:p w:rsidR="00BA1CEF" w:rsidRDefault="00BA1CEF" w:rsidP="00E67BFA">
      <w:pPr>
        <w:ind w:right="15307"/>
      </w:pPr>
    </w:p>
    <w:p w:rsidR="00BA1CEF" w:rsidRDefault="00BA1CEF" w:rsidP="00E67BFA">
      <w:pPr>
        <w:ind w:right="15307"/>
      </w:pPr>
    </w:p>
    <w:p w:rsidR="00BA1CEF" w:rsidRDefault="00BA1CEF" w:rsidP="00E67BFA">
      <w:pPr>
        <w:ind w:right="15307"/>
      </w:pPr>
    </w:p>
    <w:p w:rsidR="00BA1CEF" w:rsidRDefault="00BA1CEF" w:rsidP="00E67BFA">
      <w:pPr>
        <w:ind w:right="15307"/>
      </w:pPr>
    </w:p>
    <w:p w:rsidR="00BA1CEF" w:rsidRDefault="00BA1CEF" w:rsidP="00E67BFA">
      <w:pPr>
        <w:ind w:right="15307"/>
      </w:pPr>
    </w:p>
    <w:p w:rsidR="00BA1CEF" w:rsidRDefault="00BA1CEF" w:rsidP="00E67BFA">
      <w:pPr>
        <w:ind w:right="15307"/>
      </w:pPr>
    </w:p>
    <w:p w:rsidR="00BA1CEF" w:rsidRDefault="00BA1CEF" w:rsidP="00E67BFA">
      <w:pPr>
        <w:ind w:right="15307"/>
      </w:pPr>
    </w:p>
    <w:p w:rsidR="00BA1CEF" w:rsidRDefault="00BA1CEF" w:rsidP="00E67BFA">
      <w:pPr>
        <w:ind w:right="15307"/>
      </w:pPr>
    </w:p>
    <w:p w:rsidR="00BA1CEF" w:rsidRDefault="00BA1CEF" w:rsidP="00E67BFA">
      <w:pPr>
        <w:ind w:right="15307"/>
      </w:pPr>
    </w:p>
    <w:p w:rsidR="00BA1CEF" w:rsidRDefault="00BA1CEF" w:rsidP="00E67BFA">
      <w:pPr>
        <w:ind w:right="15307"/>
        <w:sectPr w:rsidR="00BA1CEF" w:rsidSect="004C7CC5">
          <w:headerReference w:type="default" r:id="rId7"/>
          <w:footerReference w:type="default" r:id="rId8"/>
          <w:pgSz w:w="11907" w:h="16840"/>
          <w:pgMar w:top="567" w:right="567" w:bottom="567" w:left="624" w:header="709" w:footer="272" w:gutter="0"/>
          <w:cols w:space="708"/>
        </w:sectPr>
      </w:pPr>
    </w:p>
    <w:p w:rsidR="00E61136" w:rsidRPr="00E61136" w:rsidRDefault="00F241DB" w:rsidP="00E61136">
      <w:pPr>
        <w:pStyle w:val="Overskrift1"/>
        <w:jc w:val="center"/>
        <w:rPr>
          <w:rFonts w:ascii="Times New Roman" w:hAnsi="Times New Roman"/>
          <w:noProof/>
          <w:sz w:val="72"/>
          <w:szCs w:val="72"/>
        </w:rPr>
      </w:pPr>
      <w:r w:rsidRPr="00BA1CEF">
        <w:rPr>
          <w:rFonts w:ascii="Times New Roman" w:hAnsi="Times New Roman"/>
          <w:noProof/>
          <w:sz w:val="72"/>
          <w:szCs w:val="72"/>
        </w:rPr>
        <mc:AlternateContent>
          <mc:Choice Requires="wps">
            <w:drawing>
              <wp:anchor distT="0" distB="0" distL="114300" distR="114300" simplePos="0" relativeHeight="251662336" behindDoc="1" locked="0" layoutInCell="1" allowOverlap="1" wp14:anchorId="47E6EB6E">
                <wp:simplePos x="0" y="0"/>
                <wp:positionH relativeFrom="page">
                  <wp:posOffset>1003935</wp:posOffset>
                </wp:positionH>
                <wp:positionV relativeFrom="page">
                  <wp:posOffset>953135</wp:posOffset>
                </wp:positionV>
                <wp:extent cx="5738495" cy="285750"/>
                <wp:effectExtent l="3810" t="635" r="127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8495"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265B" w:rsidRPr="00AE4D7C" w:rsidRDefault="004D1B83" w:rsidP="0086673E">
                            <w:pPr>
                              <w:pStyle w:val="Sidebar-Sagsbehandlermm"/>
                              <w:jc w:val="right"/>
                              <w:rPr>
                                <w:rFonts w:ascii="Times New Roman" w:hAnsi="Times New Roman"/>
                                <w:b w:val="0"/>
                                <w:sz w:val="24"/>
                              </w:rPr>
                            </w:pPr>
                            <w:r>
                              <w:rPr>
                                <w:rFonts w:ascii="Times New Roman" w:hAnsi="Times New Roman"/>
                                <w:b w:val="0"/>
                                <w:sz w:val="24"/>
                              </w:rPr>
                              <w:t>August</w:t>
                            </w:r>
                            <w:r w:rsidR="005F1C68">
                              <w:rPr>
                                <w:rFonts w:ascii="Times New Roman" w:hAnsi="Times New Roman"/>
                                <w:b w:val="0"/>
                                <w:sz w:val="24"/>
                              </w:rPr>
                              <w:t xml:space="preserve"> 2020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7E6EB6E" id="_x0000_t202" coordsize="21600,21600" o:spt="202" path="m,l,21600r21600,l21600,xe">
                <v:stroke joinstyle="miter"/>
                <v:path gradientshapeok="t" o:connecttype="rect"/>
              </v:shapetype>
              <v:shape id="Text Box 3" o:spid="_x0000_s1026" type="#_x0000_t202" style="position:absolute;left:0;text-align:left;margin-left:79.05pt;margin-top:75.05pt;width:451.85pt;height:22.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" stroked="f">
                <v:textbox>
                  <w:txbxContent>
                    <w:p w:rsidR="0060265B" w:rsidRPr="00AE4D7C" w:rsidRDefault="004D1B83" w:rsidP="0086673E">
                      <w:pPr>
                        <w:pStyle w:val="Sidebar-Sagsbehandlermm"/>
                        <w:jc w:val="right"/>
                        <w:rPr>
                          <w:rFonts w:ascii="Times New Roman" w:hAnsi="Times New Roman"/>
                          <w:b w:val="0"/>
                          <w:sz w:val="24"/>
                        </w:rPr>
                      </w:pPr>
                      <w:r>
                        <w:rPr>
                          <w:rFonts w:ascii="Times New Roman" w:hAnsi="Times New Roman"/>
                          <w:b w:val="0"/>
                          <w:sz w:val="24"/>
                        </w:rPr>
                        <w:t>August</w:t>
                      </w:r>
                      <w:r w:rsidR="005F1C68">
                        <w:rPr>
                          <w:rFonts w:ascii="Times New Roman" w:hAnsi="Times New Roman"/>
                          <w:b w:val="0"/>
                          <w:sz w:val="24"/>
                        </w:rPr>
                        <w:t xml:space="preserve"> 2020</w:t>
                      </w:r>
                    </w:p>
                  </w:txbxContent>
                </v:textbox>
                <w10:wrap anchorx="page" anchory="page"/>
              </v:shape>
            </w:pict>
          </mc:Fallback>
        </mc:AlternateContent>
      </w:r>
      <w:r w:rsidRPr="00BA1CEF">
        <w:rPr>
          <w:rFonts w:ascii="Times New Roman" w:hAnsi="Times New Roman"/>
          <w:noProof/>
          <w:sz w:val="72"/>
          <w:szCs w:val="72"/>
        </w:rPr>
        <mc:AlternateContent>
          <mc:Choice Requires="wps">
            <w:drawing>
              <wp:anchor distT="0" distB="0" distL="114300" distR="114300" simplePos="0" relativeHeight="251660288" behindDoc="0" locked="0" layoutInCell="1" allowOverlap="1" wp14:anchorId="1BA94811">
                <wp:simplePos x="0" y="0"/>
                <wp:positionH relativeFrom="page">
                  <wp:posOffset>1052830</wp:posOffset>
                </wp:positionH>
                <wp:positionV relativeFrom="page">
                  <wp:posOffset>748030</wp:posOffset>
                </wp:positionV>
                <wp:extent cx="3624580" cy="49085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4580"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265B" w:rsidRPr="00B248D2" w:rsidRDefault="005F1C68" w:rsidP="005D3540">
                            <w:pPr>
                              <w:pStyle w:val="Sidebar-Sagsbehandlermm"/>
                              <w:rPr>
                                <w:b w:val="0"/>
                                <w:sz w:val="28"/>
                                <w:szCs w:val="28"/>
                              </w:rPr>
                            </w:pPr>
                            <w:r>
                              <w:rPr>
                                <w:b w:val="0"/>
                                <w:sz w:val="28"/>
                                <w:szCs w:val="28"/>
                              </w:rPr>
                              <w:t>Sikkerhedsgruppen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BA94811" id="Text Box 2" o:spid="_x0000_s1027" type="#_x0000_t202" style="position:absolute;left:0;text-align:left;margin-left:82.9pt;margin-top:58.9pt;width:285.4pt;height:38.6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" stroked="f">
                <v:textbox>
                  <w:txbxContent>
                    <w:p w:rsidR="0060265B" w:rsidRPr="00B248D2" w:rsidRDefault="005F1C68" w:rsidP="005D3540">
                      <w:pPr>
                        <w:pStyle w:val="Sidebar-Sagsbehandlermm"/>
                        <w:rPr>
                          <w:b w:val="0"/>
                          <w:sz w:val="28"/>
                          <w:szCs w:val="28"/>
                        </w:rPr>
                      </w:pPr>
                      <w:r>
                        <w:rPr>
                          <w:b w:val="0"/>
                          <w:sz w:val="28"/>
                          <w:szCs w:val="28"/>
                        </w:rPr>
                        <w:t>Sikkerhedsgruppen</w:t>
                      </w:r>
                    </w:p>
                  </w:txbxContent>
                </v:textbox>
                <w10:wrap anchorx="page" anchory="page"/>
              </v:shape>
            </w:pict>
          </mc:Fallback>
        </mc:AlternateContent>
      </w:r>
      <w:r w:rsidR="00BA1CEF" w:rsidRPr="00BA1CEF">
        <w:rPr>
          <w:rFonts w:ascii="Times New Roman" w:hAnsi="Times New Roman"/>
          <w:noProof/>
          <w:sz w:val="72"/>
          <w:szCs w:val="72"/>
        </w:rPr>
        <w:t>P</w:t>
      </w:r>
      <w:r w:rsidR="005F1C68" w:rsidRPr="00BA1CEF">
        <w:rPr>
          <w:rFonts w:ascii="Times New Roman" w:hAnsi="Times New Roman"/>
          <w:noProof/>
          <w:sz w:val="72"/>
          <w:szCs w:val="72"/>
        </w:rPr>
        <w:t>rocedure for opbevaringsbegræsning</w:t>
      </w:r>
      <w:r w:rsidR="00E61136">
        <w:rPr>
          <w:rFonts w:ascii="Times New Roman" w:hAnsi="Times New Roman"/>
          <w:noProof/>
          <w:sz w:val="72"/>
          <w:szCs w:val="72"/>
        </w:rPr>
        <w:t xml:space="preserve"> </w:t>
      </w:r>
      <w:r w:rsidR="00E61136" w:rsidRPr="00E61136">
        <w:rPr>
          <w:rFonts w:ascii="Times New Roman" w:hAnsi="Times New Roman"/>
          <w:b w:val="0"/>
          <w:bCs w:val="0"/>
          <w:noProof/>
          <w:sz w:val="72"/>
          <w:szCs w:val="72"/>
        </w:rPr>
        <w:t>(GDPR)</w:t>
      </w:r>
    </w:p>
    <w:p w:rsidR="00E61136" w:rsidRPr="00E61136" w:rsidRDefault="00E61136" w:rsidP="00E61136"/>
    <w:p w:rsidR="005F1C68" w:rsidRPr="005F1C68" w:rsidRDefault="005F1C68" w:rsidP="005F1C68"/>
    <w:p w:rsidR="00BA1CEF" w:rsidRDefault="00BA1CEF" w:rsidP="001872FD">
      <w:pPr>
        <w:rPr>
          <w:b/>
          <w:bCs/>
        </w:rPr>
      </w:pPr>
    </w:p>
    <w:p w:rsidR="00BA1CEF" w:rsidRDefault="00BA1CEF" w:rsidP="001872FD">
      <w:pPr>
        <w:rPr>
          <w:b/>
          <w:bCs/>
        </w:rPr>
      </w:pPr>
    </w:p>
    <w:p w:rsidR="00BA1CEF" w:rsidRDefault="00BA1CEF" w:rsidP="001872FD">
      <w:pPr>
        <w:rPr>
          <w:b/>
          <w:bCs/>
        </w:rPr>
      </w:pPr>
      <w:r>
        <w:rPr>
          <w:b/>
          <w:bCs/>
        </w:rPr>
        <w:t xml:space="preserve">Version: </w:t>
      </w:r>
    </w:p>
    <w:p w:rsidR="00BA1CEF" w:rsidRDefault="00BA1CEF" w:rsidP="001872FD">
      <w:pPr>
        <w:rPr>
          <w:b/>
          <w:bCs/>
        </w:rPr>
      </w:pPr>
    </w:p>
    <w:tbl>
      <w:tblPr>
        <w:tblStyle w:val="Tabel-Gitter"/>
        <w:tblW w:w="0" w:type="auto"/>
        <w:tblLook w:val="04A0" w:firstRow="1" w:lastRow="0" w:firstColumn="1" w:lastColumn="0" w:noHBand="0" w:noVBand="1"/>
      </w:tblPr>
      <w:tblGrid>
        <w:gridCol w:w="3018"/>
        <w:gridCol w:w="2637"/>
        <w:gridCol w:w="2953"/>
      </w:tblGrid>
      <w:tr w:rsidR="00BA1CEF" w:rsidRPr="00F70017" w:rsidTr="00F70017">
        <w:tc>
          <w:tcPr>
            <w:tcW w:w="3100" w:type="dxa"/>
          </w:tcPr>
          <w:p w:rsidR="00BA1CEF" w:rsidRPr="00F70017" w:rsidRDefault="00BA1CEF" w:rsidP="00A244B4">
            <w:pPr>
              <w:jc w:val="center"/>
              <w:rPr>
                <w:b/>
                <w:bCs/>
              </w:rPr>
            </w:pPr>
            <w:r w:rsidRPr="00F70017">
              <w:rPr>
                <w:b/>
                <w:bCs/>
              </w:rPr>
              <w:t>Dato</w:t>
            </w:r>
          </w:p>
        </w:tc>
        <w:tc>
          <w:tcPr>
            <w:tcW w:w="2703" w:type="dxa"/>
          </w:tcPr>
          <w:p w:rsidR="00BA1CEF" w:rsidRPr="00F70017" w:rsidRDefault="00BA1CEF" w:rsidP="00A244B4">
            <w:pPr>
              <w:jc w:val="center"/>
              <w:rPr>
                <w:b/>
                <w:bCs/>
              </w:rPr>
            </w:pPr>
            <w:r w:rsidRPr="00F70017">
              <w:rPr>
                <w:b/>
                <w:bCs/>
              </w:rPr>
              <w:t>Ændring</w:t>
            </w:r>
          </w:p>
        </w:tc>
        <w:tc>
          <w:tcPr>
            <w:tcW w:w="3031" w:type="dxa"/>
          </w:tcPr>
          <w:p w:rsidR="00BA1CEF" w:rsidRPr="00F70017" w:rsidRDefault="00BA1CEF" w:rsidP="00A244B4">
            <w:pPr>
              <w:jc w:val="center"/>
              <w:rPr>
                <w:b/>
                <w:bCs/>
              </w:rPr>
            </w:pPr>
            <w:r w:rsidRPr="00F70017">
              <w:rPr>
                <w:b/>
                <w:bCs/>
              </w:rPr>
              <w:t>Ansvarlig</w:t>
            </w:r>
          </w:p>
        </w:tc>
      </w:tr>
      <w:tr w:rsidR="00BA1CEF" w:rsidRPr="00F70017" w:rsidTr="00F70017">
        <w:tc>
          <w:tcPr>
            <w:tcW w:w="3100" w:type="dxa"/>
          </w:tcPr>
          <w:p w:rsidR="00BA1CEF" w:rsidRPr="00F70017" w:rsidRDefault="00022998" w:rsidP="00A244B4">
            <w:pPr>
              <w:jc w:val="center"/>
            </w:pPr>
            <w:r w:rsidRPr="00F70017">
              <w:t>14</w:t>
            </w:r>
            <w:r w:rsidR="00BA1CEF" w:rsidRPr="00F70017">
              <w:t>. maj 2020</w:t>
            </w:r>
          </w:p>
        </w:tc>
        <w:tc>
          <w:tcPr>
            <w:tcW w:w="2703" w:type="dxa"/>
          </w:tcPr>
          <w:p w:rsidR="00BA1CEF" w:rsidRPr="00F70017" w:rsidRDefault="00BA1CEF" w:rsidP="00A244B4">
            <w:pPr>
              <w:jc w:val="center"/>
            </w:pPr>
            <w:r w:rsidRPr="00F70017">
              <w:t>Dokument oprettet</w:t>
            </w:r>
          </w:p>
        </w:tc>
        <w:tc>
          <w:tcPr>
            <w:tcW w:w="3031" w:type="dxa"/>
          </w:tcPr>
          <w:p w:rsidR="00BA1CEF" w:rsidRPr="00F70017" w:rsidRDefault="00BA1CEF" w:rsidP="00A244B4">
            <w:pPr>
              <w:jc w:val="center"/>
            </w:pPr>
            <w:r w:rsidRPr="00F70017">
              <w:t>Sidsel Kloppenburg</w:t>
            </w:r>
          </w:p>
        </w:tc>
      </w:tr>
      <w:tr w:rsidR="00BA1CEF" w:rsidRPr="00F70017" w:rsidTr="00F70017">
        <w:tc>
          <w:tcPr>
            <w:tcW w:w="3100" w:type="dxa"/>
          </w:tcPr>
          <w:p w:rsidR="00BA1CEF" w:rsidRPr="00F70017" w:rsidRDefault="00F70017" w:rsidP="00F70017">
            <w:pPr>
              <w:jc w:val="center"/>
            </w:pPr>
            <w:r w:rsidRPr="00F70017">
              <w:t>3. august</w:t>
            </w:r>
          </w:p>
        </w:tc>
        <w:tc>
          <w:tcPr>
            <w:tcW w:w="2703" w:type="dxa"/>
          </w:tcPr>
          <w:p w:rsidR="00BA1CEF" w:rsidRPr="00F70017" w:rsidRDefault="00F70017" w:rsidP="00F70017">
            <w:pPr>
              <w:jc w:val="center"/>
            </w:pPr>
            <w:r>
              <w:t>Opdateret med kommentarer fra Kenneth Andersen</w:t>
            </w:r>
          </w:p>
        </w:tc>
        <w:tc>
          <w:tcPr>
            <w:tcW w:w="3031" w:type="dxa"/>
          </w:tcPr>
          <w:p w:rsidR="00BA1CEF" w:rsidRPr="00F70017" w:rsidRDefault="00F70017" w:rsidP="00F70017">
            <w:pPr>
              <w:jc w:val="center"/>
            </w:pPr>
            <w:r>
              <w:t>Linne Caramés</w:t>
            </w:r>
          </w:p>
        </w:tc>
      </w:tr>
      <w:tr w:rsidR="00BA1CEF" w:rsidRPr="00F70017" w:rsidTr="00F70017">
        <w:tc>
          <w:tcPr>
            <w:tcW w:w="3100" w:type="dxa"/>
          </w:tcPr>
          <w:p w:rsidR="00BA1CEF" w:rsidRPr="00F70017" w:rsidRDefault="00BA1CEF" w:rsidP="00A244B4"/>
        </w:tc>
        <w:tc>
          <w:tcPr>
            <w:tcW w:w="2703" w:type="dxa"/>
          </w:tcPr>
          <w:p w:rsidR="00BA1CEF" w:rsidRPr="00F70017" w:rsidRDefault="00BA1CEF" w:rsidP="00A244B4"/>
        </w:tc>
        <w:tc>
          <w:tcPr>
            <w:tcW w:w="3031" w:type="dxa"/>
          </w:tcPr>
          <w:p w:rsidR="00BA1CEF" w:rsidRPr="00F70017" w:rsidRDefault="00BA1CEF" w:rsidP="00A244B4"/>
        </w:tc>
      </w:tr>
      <w:tr w:rsidR="00BA1CEF" w:rsidRPr="00F70017" w:rsidTr="00F70017">
        <w:tc>
          <w:tcPr>
            <w:tcW w:w="3100" w:type="dxa"/>
          </w:tcPr>
          <w:p w:rsidR="00BA1CEF" w:rsidRPr="00F70017" w:rsidRDefault="00BA1CEF" w:rsidP="00A244B4"/>
        </w:tc>
        <w:tc>
          <w:tcPr>
            <w:tcW w:w="2703" w:type="dxa"/>
          </w:tcPr>
          <w:p w:rsidR="00BA1CEF" w:rsidRPr="00F70017" w:rsidRDefault="00BA1CEF" w:rsidP="00A244B4"/>
        </w:tc>
        <w:tc>
          <w:tcPr>
            <w:tcW w:w="3031" w:type="dxa"/>
          </w:tcPr>
          <w:p w:rsidR="00BA1CEF" w:rsidRPr="00F70017" w:rsidRDefault="00BA1CEF" w:rsidP="00A244B4"/>
        </w:tc>
      </w:tr>
      <w:tr w:rsidR="00BA1CEF" w:rsidRPr="00F70017" w:rsidTr="00F70017">
        <w:tc>
          <w:tcPr>
            <w:tcW w:w="3100" w:type="dxa"/>
          </w:tcPr>
          <w:p w:rsidR="00BA1CEF" w:rsidRPr="00F70017" w:rsidRDefault="00BA1CEF" w:rsidP="00A244B4"/>
        </w:tc>
        <w:tc>
          <w:tcPr>
            <w:tcW w:w="2703" w:type="dxa"/>
          </w:tcPr>
          <w:p w:rsidR="00BA1CEF" w:rsidRPr="00F70017" w:rsidRDefault="00BA1CEF" w:rsidP="00A244B4"/>
        </w:tc>
        <w:tc>
          <w:tcPr>
            <w:tcW w:w="3031" w:type="dxa"/>
          </w:tcPr>
          <w:p w:rsidR="00BA1CEF" w:rsidRPr="00F70017" w:rsidRDefault="00BA1CEF" w:rsidP="00A244B4"/>
        </w:tc>
      </w:tr>
      <w:tr w:rsidR="00BA1CEF" w:rsidRPr="00F70017" w:rsidTr="00F70017">
        <w:tc>
          <w:tcPr>
            <w:tcW w:w="3100" w:type="dxa"/>
          </w:tcPr>
          <w:p w:rsidR="00BA1CEF" w:rsidRPr="00F70017" w:rsidRDefault="00BA1CEF" w:rsidP="00A244B4"/>
        </w:tc>
        <w:tc>
          <w:tcPr>
            <w:tcW w:w="2703" w:type="dxa"/>
          </w:tcPr>
          <w:p w:rsidR="00BA1CEF" w:rsidRPr="00F70017" w:rsidRDefault="00BA1CEF" w:rsidP="00A244B4"/>
        </w:tc>
        <w:tc>
          <w:tcPr>
            <w:tcW w:w="3031" w:type="dxa"/>
          </w:tcPr>
          <w:p w:rsidR="00BA1CEF" w:rsidRPr="00F70017" w:rsidRDefault="00BA1CEF" w:rsidP="00A244B4"/>
        </w:tc>
      </w:tr>
    </w:tbl>
    <w:p w:rsidR="00BA1CEF" w:rsidRDefault="00BA1CEF" w:rsidP="001872FD">
      <w:pPr>
        <w:rPr>
          <w:b/>
          <w:bCs/>
        </w:rPr>
      </w:pPr>
    </w:p>
    <w:p w:rsidR="00BA1CEF" w:rsidRDefault="00BA1CEF" w:rsidP="001872FD">
      <w:pPr>
        <w:rPr>
          <w:b/>
          <w:bCs/>
        </w:rPr>
      </w:pPr>
    </w:p>
    <w:p w:rsidR="00BA1CEF" w:rsidRDefault="00BA1CEF" w:rsidP="001872FD">
      <w:pPr>
        <w:rPr>
          <w:b/>
          <w:bCs/>
        </w:rPr>
      </w:pPr>
    </w:p>
    <w:p w:rsidR="00BA1CEF" w:rsidRDefault="00BA1CEF" w:rsidP="001872FD">
      <w:pPr>
        <w:rPr>
          <w:b/>
          <w:bCs/>
        </w:rPr>
      </w:pPr>
    </w:p>
    <w:p w:rsidR="00BA1CEF" w:rsidRDefault="00BA1CEF" w:rsidP="001872FD">
      <w:pPr>
        <w:rPr>
          <w:b/>
          <w:bCs/>
        </w:rPr>
      </w:pPr>
    </w:p>
    <w:p w:rsidR="00BA1CEF" w:rsidRDefault="00BA1CEF" w:rsidP="001872FD">
      <w:pPr>
        <w:rPr>
          <w:b/>
          <w:bCs/>
        </w:rPr>
      </w:pPr>
    </w:p>
    <w:p w:rsidR="00BA1CEF" w:rsidRDefault="00BA1CEF">
      <w:pPr>
        <w:overflowPunct/>
        <w:autoSpaceDE/>
        <w:autoSpaceDN/>
        <w:adjustRightInd/>
        <w:textAlignment w:val="auto"/>
        <w:rPr>
          <w:b/>
          <w:bCs/>
        </w:rPr>
      </w:pPr>
      <w:r>
        <w:rPr>
          <w:b/>
          <w:bCs/>
        </w:rPr>
        <w:br w:type="page"/>
      </w:r>
    </w:p>
    <w:p w:rsidR="00E84970" w:rsidRDefault="0082465B" w:rsidP="001872FD">
      <w:pPr>
        <w:rPr>
          <w:b/>
          <w:bCs/>
        </w:rPr>
      </w:pPr>
      <w:r>
        <w:rPr>
          <w:b/>
          <w:bCs/>
        </w:rPr>
        <w:lastRenderedPageBreak/>
        <w:t>Indledning</w:t>
      </w:r>
    </w:p>
    <w:p w:rsidR="006C6F48" w:rsidRDefault="0004571A" w:rsidP="001872FD">
      <w:r>
        <w:t>Et af de centrale krav, som udspringer af databeskyttelsesforordningen</w:t>
      </w:r>
      <w:r w:rsidR="007E294E">
        <w:t xml:space="preserve">s artikel </w:t>
      </w:r>
      <w:r w:rsidR="003F1F1B">
        <w:t>5</w:t>
      </w:r>
      <w:r w:rsidR="007E294E">
        <w:t xml:space="preserve">, stk. 1, litra </w:t>
      </w:r>
      <w:r w:rsidR="003F1F1B">
        <w:t>e</w:t>
      </w:r>
      <w:r>
        <w:t xml:space="preserve"> er, at personoplysninger skal</w:t>
      </w:r>
      <w:r w:rsidR="00436783">
        <w:t xml:space="preserve"> </w:t>
      </w:r>
      <w:r>
        <w:t>slettes eller gøres anonyme</w:t>
      </w:r>
      <w:r w:rsidR="00032ECE">
        <w:rPr>
          <w:rStyle w:val="Fodnotehenvisning"/>
        </w:rPr>
        <w:footnoteReference w:id="1"/>
      </w:r>
      <w:r>
        <w:t>, når det ikke længere er nødvendigt for den dataansvarlige at have oplysningerne.</w:t>
      </w:r>
    </w:p>
    <w:p w:rsidR="0004571A" w:rsidRDefault="0004571A" w:rsidP="001872FD"/>
    <w:p w:rsidR="0004571A" w:rsidRDefault="0004571A" w:rsidP="001872FD">
      <w:r>
        <w:t>På nogle områder er der fastsat en bestemt slettefrist</w:t>
      </w:r>
      <w:r w:rsidR="007E294E">
        <w:t>, bl.a. under hensyntagen til reglerne i forældelsesloven</w:t>
      </w:r>
      <w:r w:rsidR="00FF2DDA">
        <w:t xml:space="preserve">. </w:t>
      </w:r>
      <w:r>
        <w:t xml:space="preserve"> </w:t>
      </w:r>
      <w:r w:rsidR="00FF2DDA">
        <w:t>P</w:t>
      </w:r>
      <w:r>
        <w:t>å andre områder er op til den enkelte dataansvarlige at vurdere, hvor længe det er nødvendigt at opbevare oplysningerne ud fra det formål, som oplysningerne oprindeligt blev indsamlet til.</w:t>
      </w:r>
    </w:p>
    <w:p w:rsidR="0004571A" w:rsidRDefault="0004571A" w:rsidP="001872FD"/>
    <w:p w:rsidR="006C6F48" w:rsidRDefault="00436783" w:rsidP="001872FD">
      <w:pPr>
        <w:rPr>
          <w:b/>
          <w:bCs/>
        </w:rPr>
      </w:pPr>
      <w:r>
        <w:rPr>
          <w:b/>
          <w:bCs/>
        </w:rPr>
        <w:t>Områder med fas</w:t>
      </w:r>
      <w:r w:rsidR="004B4875">
        <w:rPr>
          <w:b/>
          <w:bCs/>
        </w:rPr>
        <w:t>tsat slettefrist</w:t>
      </w:r>
    </w:p>
    <w:p w:rsidR="004B4875" w:rsidRDefault="004B4875" w:rsidP="001872FD">
      <w:r>
        <w:t xml:space="preserve">På mange områder er der </w:t>
      </w:r>
      <w:r w:rsidR="007E294E">
        <w:t xml:space="preserve">som nævnt </w:t>
      </w:r>
      <w:r>
        <w:t>fastsat en slettefrist</w:t>
      </w:r>
      <w:r w:rsidR="001A336F">
        <w:t xml:space="preserve">. Denne </w:t>
      </w:r>
      <w:r w:rsidR="00D05535">
        <w:t>er ofte</w:t>
      </w:r>
      <w:r w:rsidR="001A336F">
        <w:t xml:space="preserve"> </w:t>
      </w:r>
      <w:r>
        <w:t>5 år efter sagens afslutning</w:t>
      </w:r>
      <w:r w:rsidR="00855FB3">
        <w:t>, men der kan også være andre slettefrister</w:t>
      </w:r>
      <w:r>
        <w:t>.</w:t>
      </w:r>
      <w:r w:rsidR="00637555">
        <w:t xml:space="preserve"> </w:t>
      </w:r>
    </w:p>
    <w:p w:rsidR="0054331B" w:rsidRDefault="0054331B" w:rsidP="001872FD"/>
    <w:p w:rsidR="006C6F48" w:rsidRPr="009D58C9" w:rsidRDefault="0054331B" w:rsidP="001872FD">
      <w:r w:rsidRPr="009D58C9">
        <w:t>F</w:t>
      </w:r>
      <w:r w:rsidR="00FF2DDA">
        <w:t>x</w:t>
      </w:r>
      <w:r w:rsidRPr="009D58C9">
        <w:t xml:space="preserve"> gælder der i forhold til </w:t>
      </w:r>
      <w:r w:rsidR="003F1F1B" w:rsidRPr="009D58C9">
        <w:t>nogle sager på arbejdsskadeområdet en særlig lang forældelsesfrist på op til 30 år</w:t>
      </w:r>
      <w:r w:rsidR="009D58C9" w:rsidRPr="009D58C9">
        <w:t xml:space="preserve">, og </w:t>
      </w:r>
      <w:r w:rsidR="001A336F">
        <w:t xml:space="preserve">inden for sundhedsloven er slettefristen ofte </w:t>
      </w:r>
      <w:r w:rsidR="009D58C9" w:rsidRPr="009D58C9">
        <w:t>10 år</w:t>
      </w:r>
      <w:r w:rsidR="003F1F1B" w:rsidRPr="009D58C9">
        <w:t xml:space="preserve">. </w:t>
      </w:r>
    </w:p>
    <w:p w:rsidR="0004571A" w:rsidRDefault="0004571A" w:rsidP="001872FD"/>
    <w:p w:rsidR="006C6F48" w:rsidRPr="0004571A" w:rsidRDefault="006C6F48" w:rsidP="001872FD">
      <w:pPr>
        <w:rPr>
          <w:b/>
          <w:bCs/>
        </w:rPr>
      </w:pPr>
      <w:r w:rsidRPr="0004571A">
        <w:rPr>
          <w:b/>
          <w:bCs/>
        </w:rPr>
        <w:t xml:space="preserve">Områder uden </w:t>
      </w:r>
      <w:r w:rsidR="00855FB3">
        <w:rPr>
          <w:b/>
          <w:bCs/>
        </w:rPr>
        <w:t xml:space="preserve">lovbestemt </w:t>
      </w:r>
      <w:r w:rsidRPr="0004571A">
        <w:rPr>
          <w:b/>
          <w:bCs/>
        </w:rPr>
        <w:t>slettefrist</w:t>
      </w:r>
    </w:p>
    <w:p w:rsidR="006C6F48" w:rsidRDefault="004B4875" w:rsidP="001872FD">
      <w:r>
        <w:t>Særligt på de områder, hvor der ikke er tale om myndighedsudøvelse eller som ikke i øvrigt er lovreguleret, vil der ikke være fastsat nogen specifik slettefrist.</w:t>
      </w:r>
    </w:p>
    <w:p w:rsidR="004B4875" w:rsidRDefault="004B4875" w:rsidP="001872FD"/>
    <w:p w:rsidR="006C6F48" w:rsidRDefault="004B4875" w:rsidP="001872FD">
      <w:r>
        <w:t xml:space="preserve">Her er det vigtigt, at </w:t>
      </w:r>
      <w:r w:rsidR="006E2AF5">
        <w:t>I</w:t>
      </w:r>
      <w:r>
        <w:t xml:space="preserve"> </w:t>
      </w:r>
      <w:r w:rsidR="00101D0A">
        <w:t>overvejer</w:t>
      </w:r>
      <w:r w:rsidR="003D549E">
        <w:t>,</w:t>
      </w:r>
      <w:r w:rsidR="00101D0A">
        <w:t xml:space="preserve"> hvor længe de</w:t>
      </w:r>
      <w:r w:rsidR="00855FB3">
        <w:t>t</w:t>
      </w:r>
      <w:r w:rsidR="00101D0A">
        <w:t xml:space="preserve"> vil være nødvendigt at opbevare </w:t>
      </w:r>
      <w:r w:rsidR="003D549E">
        <w:t xml:space="preserve">oplysningerne allerede forbindelse med indsamlingen af </w:t>
      </w:r>
      <w:r w:rsidR="001A336F">
        <w:t>dem</w:t>
      </w:r>
      <w:r w:rsidR="00101D0A">
        <w:t>.</w:t>
      </w:r>
      <w:r w:rsidR="00855FB3">
        <w:t xml:space="preserve"> </w:t>
      </w:r>
      <w:r w:rsidR="00637555">
        <w:t>Det kan f.eks. være oplysninger I behandler på baggrund af et indhentet samtykke (f</w:t>
      </w:r>
      <w:r w:rsidR="00FF2DDA">
        <w:t>x</w:t>
      </w:r>
      <w:r w:rsidR="00637555">
        <w:t xml:space="preserve"> samtykke til behandling af billeder, </w:t>
      </w:r>
      <w:r w:rsidR="00855FB3">
        <w:t>tilmelding til et hold på ungdoms- eller kulturskolen eller adgang til svømmehallen)</w:t>
      </w:r>
      <w:r w:rsidR="003D549E">
        <w:t>.</w:t>
      </w:r>
    </w:p>
    <w:p w:rsidR="006C6F48" w:rsidRDefault="006C6F48" w:rsidP="001872FD"/>
    <w:p w:rsidR="00000F8B" w:rsidRDefault="00497445" w:rsidP="00000F8B">
      <w:pPr>
        <w:rPr>
          <w:b/>
          <w:bCs/>
        </w:rPr>
      </w:pPr>
      <w:r>
        <w:rPr>
          <w:b/>
          <w:bCs/>
        </w:rPr>
        <w:t>Sletning</w:t>
      </w:r>
      <w:r w:rsidR="000E00D1">
        <w:rPr>
          <w:b/>
          <w:bCs/>
        </w:rPr>
        <w:t>/</w:t>
      </w:r>
      <w:r>
        <w:rPr>
          <w:b/>
          <w:bCs/>
        </w:rPr>
        <w:t>arkivering</w:t>
      </w:r>
      <w:r w:rsidR="000E00D1">
        <w:rPr>
          <w:b/>
          <w:bCs/>
        </w:rPr>
        <w:t xml:space="preserve"> </w:t>
      </w:r>
    </w:p>
    <w:p w:rsidR="0079762C" w:rsidRDefault="0079762C" w:rsidP="00000F8B">
      <w:r>
        <w:t xml:space="preserve">Udgangspunktet efter databeskyttelsesforordningen </w:t>
      </w:r>
      <w:r w:rsidR="00022998">
        <w:t xml:space="preserve">er </w:t>
      </w:r>
      <w:r w:rsidR="006E2AF5">
        <w:t xml:space="preserve">som nævnt, </w:t>
      </w:r>
      <w:r w:rsidR="00022998">
        <w:t xml:space="preserve">at </w:t>
      </w:r>
      <w:r w:rsidR="006E2AF5">
        <w:t>person</w:t>
      </w:r>
      <w:r w:rsidR="00022998">
        <w:t>oplysninger</w:t>
      </w:r>
      <w:r w:rsidR="006E2AF5">
        <w:t xml:space="preserve"> skal slettes</w:t>
      </w:r>
      <w:r w:rsidR="00E07803">
        <w:t xml:space="preserve"> eller anonymiseres</w:t>
      </w:r>
      <w:r w:rsidR="006E2AF5">
        <w:t>, når de</w:t>
      </w:r>
      <w:r w:rsidR="003D549E">
        <w:t>t</w:t>
      </w:r>
      <w:r w:rsidR="006E2AF5">
        <w:t xml:space="preserve"> ikke længere er nødvendigt for den dataansvarlige at behandle oplysningerne.</w:t>
      </w:r>
    </w:p>
    <w:p w:rsidR="0079762C" w:rsidRDefault="0079762C" w:rsidP="00000F8B"/>
    <w:p w:rsidR="00000F8B" w:rsidRPr="00611AEB" w:rsidRDefault="00000F8B" w:rsidP="00000F8B">
      <w:r w:rsidRPr="00611AEB">
        <w:t xml:space="preserve">Kommuner skal </w:t>
      </w:r>
      <w:r w:rsidR="006E2AF5">
        <w:t xml:space="preserve">dog </w:t>
      </w:r>
      <w:r w:rsidRPr="00611AEB">
        <w:t>varetage arkivmæssige hensyn</w:t>
      </w:r>
      <w:r w:rsidR="0079762C">
        <w:t>, hvorfor vi i nogle tilfælde skal arkivere oplysningerne, inden de slettes fra det aktive system</w:t>
      </w:r>
      <w:r w:rsidRPr="00611AEB">
        <w:t>.</w:t>
      </w:r>
      <w:r w:rsidR="00611AEB">
        <w:t xml:space="preserve"> Et offentligt arkiv har bl.a. til formål at sikre bevaringen af arkivalier</w:t>
      </w:r>
      <w:r w:rsidR="00370E38">
        <w:t>, som har historisk værdi eller tjener til dokumentation af forhold</w:t>
      </w:r>
      <w:r w:rsidR="003D549E">
        <w:t>, som har</w:t>
      </w:r>
      <w:r w:rsidR="00370E38">
        <w:t xml:space="preserve"> væsentlig administrativ eller retslig betydning. </w:t>
      </w:r>
    </w:p>
    <w:p w:rsidR="00426DF2" w:rsidRPr="00611AEB" w:rsidRDefault="00426DF2" w:rsidP="001872FD"/>
    <w:p w:rsidR="00537281" w:rsidRDefault="00537281" w:rsidP="001872FD">
      <w:r w:rsidRPr="00611AEB">
        <w:t xml:space="preserve">Arkivering har </w:t>
      </w:r>
      <w:r w:rsidR="006E2AF5">
        <w:t xml:space="preserve">næsten </w:t>
      </w:r>
      <w:r w:rsidRPr="00611AEB">
        <w:t>samme konsekvens</w:t>
      </w:r>
      <w:r w:rsidR="006E2AF5">
        <w:t xml:space="preserve"> </w:t>
      </w:r>
      <w:r w:rsidRPr="00611AEB">
        <w:t>som sletning</w:t>
      </w:r>
      <w:r w:rsidR="006E2AF5">
        <w:t xml:space="preserve">, idet oplysningerne efter arkivering </w:t>
      </w:r>
      <w:r w:rsidR="003D549E">
        <w:t xml:space="preserve">skal slettes i det aktive system, hvorefter </w:t>
      </w:r>
      <w:r w:rsidR="0079762C">
        <w:t xml:space="preserve">der i stedet skal søges om </w:t>
      </w:r>
      <w:r w:rsidR="00225D5A">
        <w:t>adgang til oplysningerne efter arkivlovens regler.</w:t>
      </w:r>
    </w:p>
    <w:p w:rsidR="00370E38" w:rsidRDefault="00370E38" w:rsidP="00126AE6"/>
    <w:p w:rsidR="00370E38" w:rsidRPr="00370E38" w:rsidRDefault="00370E38" w:rsidP="00126AE6">
      <w:pPr>
        <w:rPr>
          <w:b/>
          <w:bCs/>
        </w:rPr>
      </w:pPr>
      <w:r w:rsidRPr="00370E38">
        <w:rPr>
          <w:b/>
          <w:bCs/>
        </w:rPr>
        <w:t>Hvad gør vi i praksis</w:t>
      </w:r>
      <w:r>
        <w:rPr>
          <w:b/>
          <w:bCs/>
        </w:rPr>
        <w:t>?</w:t>
      </w:r>
    </w:p>
    <w:p w:rsidR="00637555" w:rsidRDefault="00225D5A" w:rsidP="00126AE6">
      <w:r>
        <w:t xml:space="preserve">Afhængig af hvilket system </w:t>
      </w:r>
      <w:r w:rsidR="00FF2DDA">
        <w:t>der</w:t>
      </w:r>
      <w:r>
        <w:t xml:space="preserve"> arbejde</w:t>
      </w:r>
      <w:r w:rsidR="00FF2DDA">
        <w:t>s</w:t>
      </w:r>
      <w:r>
        <w:t xml:space="preserve"> i, kan der være forskellig</w:t>
      </w:r>
      <w:r w:rsidR="003D549E">
        <w:t>e</w:t>
      </w:r>
      <w:r>
        <w:t xml:space="preserve"> procedure</w:t>
      </w:r>
      <w:r w:rsidR="003D549E">
        <w:t>r</w:t>
      </w:r>
      <w:r>
        <w:t xml:space="preserve"> for sletning/arkivering</w:t>
      </w:r>
      <w:r w:rsidR="00FF2DDA">
        <w:t>.</w:t>
      </w:r>
      <w:r>
        <w:t xml:space="preserve"> </w:t>
      </w:r>
      <w:r w:rsidR="000F3E3B">
        <w:t>F</w:t>
      </w:r>
      <w:r>
        <w:t xml:space="preserve">or så vidt angår </w:t>
      </w:r>
      <w:r w:rsidR="00126AE6" w:rsidRPr="00611AEB">
        <w:t>de tværgående</w:t>
      </w:r>
      <w:r w:rsidR="00126AE6">
        <w:t xml:space="preserve"> bevaringsværdige systemer (såsom f</w:t>
      </w:r>
      <w:r w:rsidR="00FF2DDA">
        <w:t>x</w:t>
      </w:r>
      <w:r w:rsidR="00126AE6">
        <w:t>. vores ESDH-system SB</w:t>
      </w:r>
      <w:r w:rsidR="00000F8B">
        <w:t>SYS</w:t>
      </w:r>
      <w:r w:rsidR="00126AE6">
        <w:t>) sørger kommunens arkivansvarlige</w:t>
      </w:r>
      <w:r w:rsidR="00507234">
        <w:t xml:space="preserve"> og IT</w:t>
      </w:r>
      <w:r w:rsidR="00126AE6">
        <w:t xml:space="preserve"> for</w:t>
      </w:r>
      <w:r w:rsidR="001A336F">
        <w:t>,</w:t>
      </w:r>
      <w:r w:rsidR="00126AE6">
        <w:t xml:space="preserve"> at systemerne bliver afleveret til arkiv hver 5. år. </w:t>
      </w:r>
      <w:r w:rsidR="00637555">
        <w:t>Her har vi en aftale med NEA</w:t>
      </w:r>
      <w:r w:rsidR="00611AEB">
        <w:rPr>
          <w:rStyle w:val="Fodnotehenvisning"/>
        </w:rPr>
        <w:footnoteReference w:id="2"/>
      </w:r>
      <w:r w:rsidR="00611AEB">
        <w:t xml:space="preserve">. </w:t>
      </w:r>
      <w:r w:rsidR="001E6039">
        <w:t xml:space="preserve">En </w:t>
      </w:r>
      <w:r w:rsidR="00BF3921">
        <w:t xml:space="preserve">liste over systemer, som afleveres til arkiv via NEA, findes i bilag 2. </w:t>
      </w:r>
    </w:p>
    <w:p w:rsidR="006E2AF5" w:rsidRDefault="006E2AF5" w:rsidP="00126AE6"/>
    <w:p w:rsidR="00436783" w:rsidRDefault="006E2AF5" w:rsidP="001872FD">
      <w:r>
        <w:t>Hvis I er i tvivl, om de sagstyper I behandler er bevaringsværdige, kan I kontakte vores arkivansvarlige Lene Jensen (</w:t>
      </w:r>
      <w:hyperlink r:id="rId9" w:history="1">
        <w:r w:rsidRPr="00C20C28">
          <w:rPr>
            <w:rStyle w:val="Hyperlink"/>
          </w:rPr>
          <w:t>lje@ishoj.dk</w:t>
        </w:r>
      </w:hyperlink>
      <w:r>
        <w:t>).</w:t>
      </w:r>
    </w:p>
    <w:p w:rsidR="00225D5A" w:rsidRDefault="00225D5A" w:rsidP="001872FD"/>
    <w:p w:rsidR="002C5BF5" w:rsidRDefault="002C5BF5" w:rsidP="001872FD"/>
    <w:p w:rsidR="00AA7A37" w:rsidRDefault="00497445" w:rsidP="001872FD">
      <w:r>
        <w:lastRenderedPageBreak/>
        <w:t xml:space="preserve">I forhold til de </w:t>
      </w:r>
      <w:r w:rsidR="009D58C9">
        <w:t>sagstyper/</w:t>
      </w:r>
      <w:r>
        <w:t>systemer, som ikke er bevaringsværdige</w:t>
      </w:r>
      <w:r w:rsidR="003D549E">
        <w:t>,</w:t>
      </w:r>
      <w:r w:rsidR="001E6039">
        <w:t xml:space="preserve"> anbefaler vi, at man indgår en aftale med leverandøren om sletning </w:t>
      </w:r>
      <w:r w:rsidR="00E07803">
        <w:t xml:space="preserve">eller anonymisering </w:t>
      </w:r>
      <w:r w:rsidR="001E6039">
        <w:t>af personoplysninger, herunder også billeder og video-materiale</w:t>
      </w:r>
      <w:r w:rsidR="003D549E">
        <w:t>,</w:t>
      </w:r>
      <w:r w:rsidR="001E6039">
        <w:t xml:space="preserve"> med et fast tidsmæssigt interval. </w:t>
      </w:r>
      <w:r w:rsidR="00FF2DDA">
        <w:t>Det</w:t>
      </w:r>
      <w:r w:rsidR="001E6039">
        <w:t xml:space="preserve"> anbefale</w:t>
      </w:r>
      <w:r w:rsidR="00FF2DDA">
        <w:t>s</w:t>
      </w:r>
      <w:r w:rsidR="001E6039">
        <w:t>, at tidsintervallet er højest 5 år, medmindre der er en l</w:t>
      </w:r>
      <w:r w:rsidR="00AA7A37">
        <w:t>o</w:t>
      </w:r>
      <w:r w:rsidR="001E6039">
        <w:t>vmæssig forpligtelse eller årsag til, at oplysningerne skal bevares længere end dette.</w:t>
      </w:r>
    </w:p>
    <w:p w:rsidR="00497445" w:rsidRDefault="00497445" w:rsidP="001872FD"/>
    <w:p w:rsidR="0004571A" w:rsidRPr="00C8405E" w:rsidRDefault="0004571A" w:rsidP="001872FD">
      <w:pPr>
        <w:rPr>
          <w:b/>
          <w:bCs/>
        </w:rPr>
      </w:pPr>
      <w:r w:rsidRPr="00C8405E">
        <w:rPr>
          <w:b/>
          <w:bCs/>
        </w:rPr>
        <w:t>Hvad skal de enkelte centre/områder gøre?</w:t>
      </w:r>
    </w:p>
    <w:p w:rsidR="00497445" w:rsidRDefault="00436783" w:rsidP="001872FD">
      <w:r>
        <w:t xml:space="preserve">Hvert enkelt center er ansvarlige for, at </w:t>
      </w:r>
      <w:r w:rsidR="00497445">
        <w:t>sager, der indeholder personoplysninger</w:t>
      </w:r>
      <w:r w:rsidR="00FF0D7F">
        <w:t>,</w:t>
      </w:r>
      <w:r w:rsidR="00497445">
        <w:t xml:space="preserve"> slettes/arkiveres i forhold til de fastsatte </w:t>
      </w:r>
      <w:r w:rsidR="003D549E">
        <w:t>tids</w:t>
      </w:r>
      <w:r w:rsidR="00497445">
        <w:t>frister.</w:t>
      </w:r>
    </w:p>
    <w:p w:rsidR="00497445" w:rsidRDefault="00497445" w:rsidP="001872FD"/>
    <w:p w:rsidR="00497445" w:rsidRDefault="003D549E" w:rsidP="00497445">
      <w:r>
        <w:t>C</w:t>
      </w:r>
      <w:r w:rsidR="00497445">
        <w:t xml:space="preserve">entrene </w:t>
      </w:r>
      <w:r>
        <w:t xml:space="preserve">er ligeledes </w:t>
      </w:r>
      <w:r w:rsidR="00497445">
        <w:t>ansvarlige for</w:t>
      </w:r>
      <w:r w:rsidR="00FF0D7F">
        <w:t>,</w:t>
      </w:r>
      <w:r w:rsidR="00B731D6">
        <w:t xml:space="preserve"> at</w:t>
      </w:r>
      <w:r w:rsidR="00E07803">
        <w:t xml:space="preserve"> personoplysninger i de</w:t>
      </w:r>
      <w:r w:rsidR="00E84970">
        <w:t xml:space="preserve"> </w:t>
      </w:r>
      <w:r>
        <w:t>IT</w:t>
      </w:r>
      <w:r w:rsidR="00497445">
        <w:t xml:space="preserve">-systemer, som centrene </w:t>
      </w:r>
      <w:r w:rsidR="00E07803">
        <w:t>bruger, slettes automatisk eller manuelt med et fast interval</w:t>
      </w:r>
      <w:r w:rsidR="00E84970">
        <w:t>.</w:t>
      </w:r>
    </w:p>
    <w:p w:rsidR="00497445" w:rsidRDefault="00497445" w:rsidP="001872FD"/>
    <w:p w:rsidR="00637555" w:rsidRDefault="00497445" w:rsidP="001872FD">
      <w:r>
        <w:t xml:space="preserve">Hvis </w:t>
      </w:r>
      <w:r w:rsidR="00FF2DDA">
        <w:t>der</w:t>
      </w:r>
      <w:r>
        <w:t xml:space="preserve"> er i tvivl om, hvad slettefristen er for </w:t>
      </w:r>
      <w:r w:rsidR="00FF2DDA">
        <w:t>de</w:t>
      </w:r>
      <w:r w:rsidR="00B731D6">
        <w:t xml:space="preserve"> respektive sagstyper, kan I kigge i jeres fortegnelser.</w:t>
      </w:r>
      <w:r w:rsidR="00E90F48">
        <w:t xml:space="preserve"> </w:t>
      </w:r>
      <w:r w:rsidR="00637555">
        <w:t xml:space="preserve">Man kan ligeledes få hjælp til slettefrister på </w:t>
      </w:r>
      <w:hyperlink r:id="rId10" w:history="1">
        <w:r w:rsidR="00637555" w:rsidRPr="00C162F6">
          <w:rPr>
            <w:rStyle w:val="Hyperlink"/>
          </w:rPr>
          <w:t>www.kle-online.dk</w:t>
        </w:r>
      </w:hyperlink>
      <w:r w:rsidR="00637555">
        <w:t xml:space="preserve"> (som også ligger som et ikon på skrivebordet i </w:t>
      </w:r>
      <w:r w:rsidR="00FF0D7F">
        <w:t>C</w:t>
      </w:r>
      <w:r w:rsidR="00637555">
        <w:t>itrix</w:t>
      </w:r>
      <w:r w:rsidR="00FF0D7F">
        <w:t xml:space="preserve"> med navnet klenem</w:t>
      </w:r>
      <w:r w:rsidR="00637555">
        <w:t>)</w:t>
      </w:r>
      <w:r w:rsidR="00FF0D7F">
        <w:t>. I kle</w:t>
      </w:r>
      <w:r w:rsidR="00E07803">
        <w:t>-</w:t>
      </w:r>
      <w:r w:rsidR="00FF0D7F">
        <w:t xml:space="preserve">online fremgår det </w:t>
      </w:r>
      <w:r w:rsidR="00854368">
        <w:t xml:space="preserve">ud for de forskellige sagstyper, om de er bevaringsværdige og hvilken slettefrist, </w:t>
      </w:r>
      <w:r w:rsidR="00FF0D7F">
        <w:t>KL anbefaler</w:t>
      </w:r>
      <w:r w:rsidR="00854368">
        <w:t>.</w:t>
      </w:r>
    </w:p>
    <w:p w:rsidR="00101D0A" w:rsidRDefault="00101D0A" w:rsidP="001872FD"/>
    <w:p w:rsidR="009D58C9" w:rsidRDefault="009D58C9" w:rsidP="009D58C9">
      <w:r>
        <w:t xml:space="preserve">For at kunne overholde vores forpligtelser i forhold til GDPR er det ligeledes nødvendigt, at </w:t>
      </w:r>
      <w:r w:rsidR="00FF2DDA">
        <w:t>det</w:t>
      </w:r>
      <w:r>
        <w:t xml:space="preserve"> kan dokumentere</w:t>
      </w:r>
      <w:r w:rsidR="00FF2DDA">
        <w:t>s</w:t>
      </w:r>
      <w:r>
        <w:t xml:space="preserve">, at vi følger proceduren for sletning/arkivering. </w:t>
      </w:r>
      <w:r w:rsidR="00FF0D7F">
        <w:t>Derfor anbefale</w:t>
      </w:r>
      <w:r w:rsidR="00FF2DDA">
        <w:t>s</w:t>
      </w:r>
      <w:r w:rsidR="00FF0D7F">
        <w:t xml:space="preserve"> </w:t>
      </w:r>
      <w:r w:rsidR="00FF2DDA">
        <w:t>det</w:t>
      </w:r>
      <w:r w:rsidR="00FF0D7F">
        <w:t xml:space="preserve">, at I udfylder nedenstående skema </w:t>
      </w:r>
      <w:r w:rsidR="0079580A">
        <w:t xml:space="preserve">(bilag 1) </w:t>
      </w:r>
      <w:r w:rsidR="00FF0D7F">
        <w:t xml:space="preserve">vedr. sletning af personoplysninger, </w:t>
      </w:r>
      <w:r w:rsidR="0079580A">
        <w:t>i</w:t>
      </w:r>
      <w:r w:rsidR="00FF0D7F">
        <w:t xml:space="preserve"> jeres systemer</w:t>
      </w:r>
      <w:r w:rsidR="0079580A">
        <w:t>.</w:t>
      </w:r>
      <w:r w:rsidR="00032ECE">
        <w:t xml:space="preserve"> Sletning kan også være i form af anonymisering af personoplysningerne. </w:t>
      </w:r>
    </w:p>
    <w:p w:rsidR="0079580A" w:rsidRDefault="0079580A" w:rsidP="009D58C9"/>
    <w:p w:rsidR="0079580A" w:rsidRDefault="0079580A" w:rsidP="009D58C9"/>
    <w:p w:rsidR="0079580A" w:rsidRDefault="0079580A" w:rsidP="009D58C9">
      <w:pPr>
        <w:sectPr w:rsidR="0079580A" w:rsidSect="00884219">
          <w:headerReference w:type="default" r:id="rId11"/>
          <w:footerReference w:type="default" r:id="rId12"/>
          <w:type w:val="continuous"/>
          <w:pgSz w:w="11907" w:h="16840"/>
          <w:pgMar w:top="567" w:right="1588" w:bottom="567" w:left="1701" w:header="709" w:footer="272" w:gutter="0"/>
          <w:cols w:space="708"/>
        </w:sectPr>
      </w:pPr>
    </w:p>
    <w:p w:rsidR="0079580A" w:rsidRPr="00C83A47" w:rsidRDefault="0079580A" w:rsidP="009D58C9">
      <w:pPr>
        <w:rPr>
          <w:b/>
          <w:bCs/>
          <w:sz w:val="28"/>
          <w:szCs w:val="28"/>
        </w:rPr>
      </w:pPr>
      <w:r w:rsidRPr="00C83A47">
        <w:rPr>
          <w:b/>
          <w:bCs/>
          <w:sz w:val="28"/>
          <w:szCs w:val="28"/>
        </w:rPr>
        <w:lastRenderedPageBreak/>
        <w:t>Bilag 1: Procedure for sletning/arkivering af personoplysninger</w:t>
      </w:r>
    </w:p>
    <w:p w:rsidR="0079580A" w:rsidRDefault="0079580A" w:rsidP="009D58C9">
      <w:pPr>
        <w:rPr>
          <w:b/>
          <w:bCs/>
        </w:rPr>
      </w:pPr>
    </w:p>
    <w:p w:rsidR="0079580A" w:rsidRDefault="0079580A" w:rsidP="009D58C9">
      <w:pPr>
        <w:rPr>
          <w:b/>
          <w:bCs/>
        </w:rPr>
      </w:pPr>
    </w:p>
    <w:p w:rsidR="0079580A" w:rsidRPr="00C83A47" w:rsidRDefault="0079580A" w:rsidP="009D58C9">
      <w:pPr>
        <w:rPr>
          <w:b/>
          <w:bCs/>
        </w:rPr>
      </w:pPr>
      <w:r>
        <w:rPr>
          <w:b/>
          <w:bCs/>
        </w:rPr>
        <w:t>Center/Driftssted:</w:t>
      </w:r>
    </w:p>
    <w:p w:rsidR="00101D0A" w:rsidRDefault="00101D0A" w:rsidP="001872FD"/>
    <w:tbl>
      <w:tblPr>
        <w:tblStyle w:val="Tabel-Gitter"/>
        <w:tblW w:w="15050" w:type="dxa"/>
        <w:tblLook w:val="04A0" w:firstRow="1" w:lastRow="0" w:firstColumn="1" w:lastColumn="0" w:noHBand="0" w:noVBand="1"/>
      </w:tblPr>
      <w:tblGrid>
        <w:gridCol w:w="2184"/>
        <w:gridCol w:w="2969"/>
        <w:gridCol w:w="3299"/>
        <w:gridCol w:w="3299"/>
        <w:gridCol w:w="3299"/>
      </w:tblGrid>
      <w:tr w:rsidR="00BF3921" w:rsidTr="009C4FC4">
        <w:trPr>
          <w:trHeight w:val="618"/>
        </w:trPr>
        <w:tc>
          <w:tcPr>
            <w:tcW w:w="2184" w:type="dxa"/>
            <w:shd w:val="clear" w:color="auto" w:fill="D9D9D9" w:themeFill="background1" w:themeFillShade="D9"/>
          </w:tcPr>
          <w:p w:rsidR="00BF3921" w:rsidRPr="00C83A47" w:rsidRDefault="00BF3921" w:rsidP="00C83A47">
            <w:pPr>
              <w:jc w:val="center"/>
              <w:rPr>
                <w:b/>
                <w:bCs/>
              </w:rPr>
            </w:pPr>
            <w:r>
              <w:rPr>
                <w:b/>
                <w:bCs/>
              </w:rPr>
              <w:t>System</w:t>
            </w:r>
          </w:p>
        </w:tc>
        <w:tc>
          <w:tcPr>
            <w:tcW w:w="2969" w:type="dxa"/>
            <w:shd w:val="clear" w:color="auto" w:fill="D9D9D9" w:themeFill="background1" w:themeFillShade="D9"/>
          </w:tcPr>
          <w:p w:rsidR="00BF3921" w:rsidRDefault="00BF3921" w:rsidP="00C83A47">
            <w:pPr>
              <w:jc w:val="center"/>
            </w:pPr>
            <w:r>
              <w:rPr>
                <w:b/>
                <w:bCs/>
              </w:rPr>
              <w:t>Systemejer</w:t>
            </w:r>
          </w:p>
        </w:tc>
        <w:tc>
          <w:tcPr>
            <w:tcW w:w="3299" w:type="dxa"/>
            <w:shd w:val="clear" w:color="auto" w:fill="D9D9D9" w:themeFill="background1" w:themeFillShade="D9"/>
          </w:tcPr>
          <w:p w:rsidR="00BF3921" w:rsidRPr="00BF3921" w:rsidRDefault="00BF3921" w:rsidP="00C83A47">
            <w:pPr>
              <w:jc w:val="center"/>
              <w:rPr>
                <w:b/>
                <w:bCs/>
              </w:rPr>
            </w:pPr>
            <w:r w:rsidRPr="00407A16">
              <w:rPr>
                <w:b/>
                <w:bCs/>
              </w:rPr>
              <w:t>Anbefalet slettefrist</w:t>
            </w:r>
            <w:r>
              <w:t xml:space="preserve"> (KL)</w:t>
            </w:r>
          </w:p>
        </w:tc>
        <w:tc>
          <w:tcPr>
            <w:tcW w:w="3299" w:type="dxa"/>
            <w:shd w:val="clear" w:color="auto" w:fill="D9D9D9" w:themeFill="background1" w:themeFillShade="D9"/>
          </w:tcPr>
          <w:p w:rsidR="00BF3921" w:rsidRPr="00BF3921" w:rsidRDefault="00BF3921" w:rsidP="00C83A47">
            <w:pPr>
              <w:jc w:val="center"/>
              <w:rPr>
                <w:b/>
                <w:bCs/>
              </w:rPr>
            </w:pPr>
            <w:r w:rsidRPr="00407A16">
              <w:rPr>
                <w:b/>
                <w:bCs/>
              </w:rPr>
              <w:t>Procedure for sletning</w:t>
            </w:r>
            <w:r>
              <w:rPr>
                <w:b/>
                <w:bCs/>
              </w:rPr>
              <w:t xml:space="preserve"> med tidsinterval på sletning</w:t>
            </w:r>
          </w:p>
        </w:tc>
        <w:tc>
          <w:tcPr>
            <w:tcW w:w="3299" w:type="dxa"/>
            <w:shd w:val="clear" w:color="auto" w:fill="D9D9D9" w:themeFill="background1" w:themeFillShade="D9"/>
          </w:tcPr>
          <w:p w:rsidR="00BF3921" w:rsidRPr="00C83A47" w:rsidRDefault="00BF3921" w:rsidP="00C83A47">
            <w:pPr>
              <w:jc w:val="center"/>
              <w:rPr>
                <w:b/>
                <w:bCs/>
              </w:rPr>
            </w:pPr>
            <w:r w:rsidRPr="00BF3921">
              <w:rPr>
                <w:b/>
                <w:bCs/>
              </w:rPr>
              <w:t>Sletning udføres af</w:t>
            </w:r>
            <w:r w:rsidRPr="00C83A47">
              <w:rPr>
                <w:b/>
                <w:bCs/>
              </w:rPr>
              <w:t>:</w:t>
            </w:r>
          </w:p>
          <w:p w:rsidR="00BF3921" w:rsidRPr="00BF3921" w:rsidRDefault="00BF3921" w:rsidP="00C83A47">
            <w:pPr>
              <w:jc w:val="center"/>
              <w:rPr>
                <w:b/>
                <w:bCs/>
              </w:rPr>
            </w:pPr>
            <w:r>
              <w:t>(leverandør/kommune)</w:t>
            </w:r>
          </w:p>
        </w:tc>
      </w:tr>
      <w:tr w:rsidR="00BF3921" w:rsidTr="00C83A47">
        <w:trPr>
          <w:trHeight w:val="318"/>
        </w:trPr>
        <w:tc>
          <w:tcPr>
            <w:tcW w:w="2184" w:type="dxa"/>
          </w:tcPr>
          <w:p w:rsidR="00BF3921" w:rsidRDefault="00BF3921" w:rsidP="00BF3921"/>
        </w:tc>
        <w:tc>
          <w:tcPr>
            <w:tcW w:w="2969" w:type="dxa"/>
          </w:tcPr>
          <w:p w:rsidR="00BF3921" w:rsidRDefault="00BF3921" w:rsidP="00BF3921"/>
        </w:tc>
        <w:tc>
          <w:tcPr>
            <w:tcW w:w="3299" w:type="dxa"/>
          </w:tcPr>
          <w:p w:rsidR="00BF3921" w:rsidRDefault="00BF3921" w:rsidP="00BF3921"/>
        </w:tc>
        <w:tc>
          <w:tcPr>
            <w:tcW w:w="3299" w:type="dxa"/>
          </w:tcPr>
          <w:p w:rsidR="00BF3921" w:rsidRDefault="00BF3921" w:rsidP="00BF3921"/>
        </w:tc>
        <w:tc>
          <w:tcPr>
            <w:tcW w:w="3299" w:type="dxa"/>
          </w:tcPr>
          <w:p w:rsidR="00BF3921" w:rsidRDefault="00BF3921" w:rsidP="00BF3921"/>
        </w:tc>
      </w:tr>
      <w:tr w:rsidR="00BF3921" w:rsidTr="00C83A47">
        <w:trPr>
          <w:trHeight w:val="299"/>
        </w:trPr>
        <w:tc>
          <w:tcPr>
            <w:tcW w:w="2184" w:type="dxa"/>
          </w:tcPr>
          <w:p w:rsidR="00BF3921" w:rsidRDefault="00BF3921" w:rsidP="00BF3921"/>
        </w:tc>
        <w:tc>
          <w:tcPr>
            <w:tcW w:w="2969" w:type="dxa"/>
          </w:tcPr>
          <w:p w:rsidR="00BF3921" w:rsidRDefault="00BF3921" w:rsidP="00BF3921"/>
        </w:tc>
        <w:tc>
          <w:tcPr>
            <w:tcW w:w="3299" w:type="dxa"/>
          </w:tcPr>
          <w:p w:rsidR="00BF3921" w:rsidRDefault="00BF3921" w:rsidP="00BF3921"/>
        </w:tc>
        <w:tc>
          <w:tcPr>
            <w:tcW w:w="3299" w:type="dxa"/>
          </w:tcPr>
          <w:p w:rsidR="00BF3921" w:rsidRDefault="00BF3921" w:rsidP="00BF3921"/>
        </w:tc>
        <w:tc>
          <w:tcPr>
            <w:tcW w:w="3299" w:type="dxa"/>
          </w:tcPr>
          <w:p w:rsidR="00BF3921" w:rsidRDefault="00BF3921" w:rsidP="00BF3921"/>
        </w:tc>
      </w:tr>
      <w:tr w:rsidR="00BF3921" w:rsidTr="00C83A47">
        <w:trPr>
          <w:trHeight w:val="318"/>
        </w:trPr>
        <w:tc>
          <w:tcPr>
            <w:tcW w:w="2184" w:type="dxa"/>
          </w:tcPr>
          <w:p w:rsidR="00BF3921" w:rsidRDefault="00BF3921" w:rsidP="00BF3921"/>
        </w:tc>
        <w:tc>
          <w:tcPr>
            <w:tcW w:w="2969" w:type="dxa"/>
          </w:tcPr>
          <w:p w:rsidR="00BF3921" w:rsidRDefault="00BF3921" w:rsidP="00BF3921"/>
        </w:tc>
        <w:tc>
          <w:tcPr>
            <w:tcW w:w="3299" w:type="dxa"/>
          </w:tcPr>
          <w:p w:rsidR="00BF3921" w:rsidRDefault="00BF3921" w:rsidP="00BF3921"/>
        </w:tc>
        <w:tc>
          <w:tcPr>
            <w:tcW w:w="3299" w:type="dxa"/>
          </w:tcPr>
          <w:p w:rsidR="00BF3921" w:rsidRDefault="00BF3921" w:rsidP="00BF3921"/>
        </w:tc>
        <w:tc>
          <w:tcPr>
            <w:tcW w:w="3299" w:type="dxa"/>
          </w:tcPr>
          <w:p w:rsidR="00BF3921" w:rsidRDefault="00BF3921" w:rsidP="00BF3921"/>
        </w:tc>
      </w:tr>
      <w:tr w:rsidR="00BF3921" w:rsidTr="00C83A47">
        <w:trPr>
          <w:trHeight w:val="299"/>
        </w:trPr>
        <w:tc>
          <w:tcPr>
            <w:tcW w:w="2184" w:type="dxa"/>
          </w:tcPr>
          <w:p w:rsidR="00BF3921" w:rsidRDefault="00BF3921" w:rsidP="00BF3921"/>
        </w:tc>
        <w:tc>
          <w:tcPr>
            <w:tcW w:w="2969" w:type="dxa"/>
          </w:tcPr>
          <w:p w:rsidR="00BF3921" w:rsidRDefault="00BF3921" w:rsidP="00BF3921"/>
        </w:tc>
        <w:tc>
          <w:tcPr>
            <w:tcW w:w="3299" w:type="dxa"/>
          </w:tcPr>
          <w:p w:rsidR="00BF3921" w:rsidRDefault="00BF3921" w:rsidP="00BF3921"/>
        </w:tc>
        <w:tc>
          <w:tcPr>
            <w:tcW w:w="3299" w:type="dxa"/>
          </w:tcPr>
          <w:p w:rsidR="00BF3921" w:rsidRDefault="00BF3921" w:rsidP="00BF3921"/>
        </w:tc>
        <w:tc>
          <w:tcPr>
            <w:tcW w:w="3299" w:type="dxa"/>
          </w:tcPr>
          <w:p w:rsidR="00BF3921" w:rsidRDefault="00BF3921" w:rsidP="00BF3921"/>
        </w:tc>
      </w:tr>
      <w:tr w:rsidR="009C4FC4" w:rsidTr="00C83A47">
        <w:trPr>
          <w:trHeight w:val="299"/>
        </w:trPr>
        <w:tc>
          <w:tcPr>
            <w:tcW w:w="2184" w:type="dxa"/>
          </w:tcPr>
          <w:p w:rsidR="009C4FC4" w:rsidRDefault="009C4FC4" w:rsidP="00BF3921"/>
        </w:tc>
        <w:tc>
          <w:tcPr>
            <w:tcW w:w="2969" w:type="dxa"/>
          </w:tcPr>
          <w:p w:rsidR="009C4FC4" w:rsidRDefault="009C4FC4" w:rsidP="00BF3921"/>
        </w:tc>
        <w:tc>
          <w:tcPr>
            <w:tcW w:w="3299" w:type="dxa"/>
          </w:tcPr>
          <w:p w:rsidR="009C4FC4" w:rsidRDefault="009C4FC4" w:rsidP="00BF3921"/>
        </w:tc>
        <w:tc>
          <w:tcPr>
            <w:tcW w:w="3299" w:type="dxa"/>
          </w:tcPr>
          <w:p w:rsidR="009C4FC4" w:rsidRDefault="009C4FC4" w:rsidP="00BF3921"/>
        </w:tc>
        <w:tc>
          <w:tcPr>
            <w:tcW w:w="3299" w:type="dxa"/>
          </w:tcPr>
          <w:p w:rsidR="009C4FC4" w:rsidRDefault="009C4FC4" w:rsidP="00BF3921"/>
        </w:tc>
      </w:tr>
      <w:tr w:rsidR="009C4FC4" w:rsidTr="00C83A47">
        <w:trPr>
          <w:trHeight w:val="299"/>
        </w:trPr>
        <w:tc>
          <w:tcPr>
            <w:tcW w:w="2184" w:type="dxa"/>
          </w:tcPr>
          <w:p w:rsidR="009C4FC4" w:rsidRDefault="009C4FC4" w:rsidP="00BF3921"/>
        </w:tc>
        <w:tc>
          <w:tcPr>
            <w:tcW w:w="2969" w:type="dxa"/>
          </w:tcPr>
          <w:p w:rsidR="009C4FC4" w:rsidRDefault="009C4FC4" w:rsidP="00BF3921"/>
        </w:tc>
        <w:tc>
          <w:tcPr>
            <w:tcW w:w="3299" w:type="dxa"/>
          </w:tcPr>
          <w:p w:rsidR="009C4FC4" w:rsidRDefault="009C4FC4" w:rsidP="00BF3921"/>
        </w:tc>
        <w:tc>
          <w:tcPr>
            <w:tcW w:w="3299" w:type="dxa"/>
          </w:tcPr>
          <w:p w:rsidR="009C4FC4" w:rsidRDefault="009C4FC4" w:rsidP="00BF3921"/>
        </w:tc>
        <w:tc>
          <w:tcPr>
            <w:tcW w:w="3299" w:type="dxa"/>
          </w:tcPr>
          <w:p w:rsidR="009C4FC4" w:rsidRDefault="009C4FC4" w:rsidP="00BF3921"/>
        </w:tc>
      </w:tr>
      <w:tr w:rsidR="009C4FC4" w:rsidTr="00C83A47">
        <w:trPr>
          <w:trHeight w:val="299"/>
        </w:trPr>
        <w:tc>
          <w:tcPr>
            <w:tcW w:w="2184" w:type="dxa"/>
          </w:tcPr>
          <w:p w:rsidR="009C4FC4" w:rsidRDefault="009C4FC4" w:rsidP="00BF3921"/>
        </w:tc>
        <w:tc>
          <w:tcPr>
            <w:tcW w:w="2969" w:type="dxa"/>
          </w:tcPr>
          <w:p w:rsidR="009C4FC4" w:rsidRDefault="009C4FC4" w:rsidP="00BF3921"/>
        </w:tc>
        <w:tc>
          <w:tcPr>
            <w:tcW w:w="3299" w:type="dxa"/>
          </w:tcPr>
          <w:p w:rsidR="009C4FC4" w:rsidRDefault="009C4FC4" w:rsidP="00BF3921"/>
        </w:tc>
        <w:tc>
          <w:tcPr>
            <w:tcW w:w="3299" w:type="dxa"/>
          </w:tcPr>
          <w:p w:rsidR="009C4FC4" w:rsidRDefault="009C4FC4" w:rsidP="00BF3921"/>
        </w:tc>
        <w:tc>
          <w:tcPr>
            <w:tcW w:w="3299" w:type="dxa"/>
          </w:tcPr>
          <w:p w:rsidR="009C4FC4" w:rsidRDefault="009C4FC4" w:rsidP="00BF3921"/>
        </w:tc>
      </w:tr>
      <w:tr w:rsidR="009C4FC4" w:rsidTr="00C83A47">
        <w:trPr>
          <w:trHeight w:val="299"/>
        </w:trPr>
        <w:tc>
          <w:tcPr>
            <w:tcW w:w="2184" w:type="dxa"/>
          </w:tcPr>
          <w:p w:rsidR="009C4FC4" w:rsidRDefault="009C4FC4" w:rsidP="00BF3921"/>
        </w:tc>
        <w:tc>
          <w:tcPr>
            <w:tcW w:w="2969" w:type="dxa"/>
          </w:tcPr>
          <w:p w:rsidR="009C4FC4" w:rsidRDefault="009C4FC4" w:rsidP="00BF3921"/>
        </w:tc>
        <w:tc>
          <w:tcPr>
            <w:tcW w:w="3299" w:type="dxa"/>
          </w:tcPr>
          <w:p w:rsidR="009C4FC4" w:rsidRDefault="009C4FC4" w:rsidP="00BF3921"/>
        </w:tc>
        <w:tc>
          <w:tcPr>
            <w:tcW w:w="3299" w:type="dxa"/>
          </w:tcPr>
          <w:p w:rsidR="009C4FC4" w:rsidRDefault="009C4FC4" w:rsidP="00BF3921"/>
        </w:tc>
        <w:tc>
          <w:tcPr>
            <w:tcW w:w="3299" w:type="dxa"/>
          </w:tcPr>
          <w:p w:rsidR="009C4FC4" w:rsidRDefault="009C4FC4" w:rsidP="00BF3921"/>
        </w:tc>
      </w:tr>
      <w:tr w:rsidR="009C4FC4" w:rsidTr="00C83A47">
        <w:trPr>
          <w:trHeight w:val="299"/>
        </w:trPr>
        <w:tc>
          <w:tcPr>
            <w:tcW w:w="2184" w:type="dxa"/>
          </w:tcPr>
          <w:p w:rsidR="009C4FC4" w:rsidRDefault="009C4FC4" w:rsidP="00BF3921"/>
        </w:tc>
        <w:tc>
          <w:tcPr>
            <w:tcW w:w="2969" w:type="dxa"/>
          </w:tcPr>
          <w:p w:rsidR="009C4FC4" w:rsidRDefault="009C4FC4" w:rsidP="00BF3921"/>
        </w:tc>
        <w:tc>
          <w:tcPr>
            <w:tcW w:w="3299" w:type="dxa"/>
          </w:tcPr>
          <w:p w:rsidR="009C4FC4" w:rsidRDefault="009C4FC4" w:rsidP="00BF3921"/>
        </w:tc>
        <w:tc>
          <w:tcPr>
            <w:tcW w:w="3299" w:type="dxa"/>
          </w:tcPr>
          <w:p w:rsidR="009C4FC4" w:rsidRDefault="009C4FC4" w:rsidP="00BF3921"/>
        </w:tc>
        <w:tc>
          <w:tcPr>
            <w:tcW w:w="3299" w:type="dxa"/>
          </w:tcPr>
          <w:p w:rsidR="009C4FC4" w:rsidRDefault="009C4FC4" w:rsidP="00BF3921"/>
        </w:tc>
      </w:tr>
      <w:tr w:rsidR="009C4FC4" w:rsidTr="00C83A47">
        <w:trPr>
          <w:trHeight w:val="299"/>
        </w:trPr>
        <w:tc>
          <w:tcPr>
            <w:tcW w:w="2184" w:type="dxa"/>
          </w:tcPr>
          <w:p w:rsidR="009C4FC4" w:rsidRDefault="009C4FC4" w:rsidP="00BF3921"/>
        </w:tc>
        <w:tc>
          <w:tcPr>
            <w:tcW w:w="2969" w:type="dxa"/>
          </w:tcPr>
          <w:p w:rsidR="009C4FC4" w:rsidRDefault="009C4FC4" w:rsidP="00BF3921"/>
        </w:tc>
        <w:tc>
          <w:tcPr>
            <w:tcW w:w="3299" w:type="dxa"/>
          </w:tcPr>
          <w:p w:rsidR="009C4FC4" w:rsidRDefault="009C4FC4" w:rsidP="00BF3921"/>
        </w:tc>
        <w:tc>
          <w:tcPr>
            <w:tcW w:w="3299" w:type="dxa"/>
          </w:tcPr>
          <w:p w:rsidR="009C4FC4" w:rsidRDefault="009C4FC4" w:rsidP="00BF3921"/>
        </w:tc>
        <w:tc>
          <w:tcPr>
            <w:tcW w:w="3299" w:type="dxa"/>
          </w:tcPr>
          <w:p w:rsidR="009C4FC4" w:rsidRDefault="009C4FC4" w:rsidP="00BF3921"/>
        </w:tc>
      </w:tr>
      <w:tr w:rsidR="009C4FC4" w:rsidTr="00C83A47">
        <w:trPr>
          <w:trHeight w:val="299"/>
        </w:trPr>
        <w:tc>
          <w:tcPr>
            <w:tcW w:w="2184" w:type="dxa"/>
          </w:tcPr>
          <w:p w:rsidR="009C4FC4" w:rsidRDefault="009C4FC4" w:rsidP="00BF3921"/>
        </w:tc>
        <w:tc>
          <w:tcPr>
            <w:tcW w:w="2969" w:type="dxa"/>
          </w:tcPr>
          <w:p w:rsidR="009C4FC4" w:rsidRDefault="009C4FC4" w:rsidP="00BF3921"/>
        </w:tc>
        <w:tc>
          <w:tcPr>
            <w:tcW w:w="3299" w:type="dxa"/>
          </w:tcPr>
          <w:p w:rsidR="009C4FC4" w:rsidRDefault="009C4FC4" w:rsidP="00BF3921"/>
        </w:tc>
        <w:tc>
          <w:tcPr>
            <w:tcW w:w="3299" w:type="dxa"/>
          </w:tcPr>
          <w:p w:rsidR="009C4FC4" w:rsidRDefault="009C4FC4" w:rsidP="00BF3921"/>
        </w:tc>
        <w:tc>
          <w:tcPr>
            <w:tcW w:w="3299" w:type="dxa"/>
          </w:tcPr>
          <w:p w:rsidR="009C4FC4" w:rsidRDefault="009C4FC4" w:rsidP="00BF3921"/>
        </w:tc>
      </w:tr>
    </w:tbl>
    <w:p w:rsidR="0079580A" w:rsidRDefault="0079580A" w:rsidP="001872FD"/>
    <w:p w:rsidR="00BF3921" w:rsidRDefault="00BF3921" w:rsidP="001872FD">
      <w:pPr>
        <w:sectPr w:rsidR="00BF3921" w:rsidSect="0079580A">
          <w:pgSz w:w="16840" w:h="11907" w:orient="landscape"/>
          <w:pgMar w:top="1701" w:right="567" w:bottom="1588" w:left="567" w:header="709" w:footer="272" w:gutter="0"/>
          <w:cols w:space="708"/>
          <w:docGrid w:linePitch="299"/>
        </w:sectPr>
      </w:pPr>
    </w:p>
    <w:p w:rsidR="00BF3921" w:rsidRDefault="00BF3921" w:rsidP="001872FD">
      <w:pPr>
        <w:rPr>
          <w:b/>
          <w:bCs/>
          <w:sz w:val="28"/>
          <w:szCs w:val="28"/>
        </w:rPr>
      </w:pPr>
      <w:r w:rsidRPr="00C83A47">
        <w:rPr>
          <w:b/>
          <w:bCs/>
          <w:sz w:val="28"/>
          <w:szCs w:val="28"/>
        </w:rPr>
        <w:lastRenderedPageBreak/>
        <w:t>Bilag 2: Systemer omfattet af arkivering via NEA</w:t>
      </w:r>
    </w:p>
    <w:p w:rsidR="005F705B" w:rsidRDefault="005F705B" w:rsidP="001872FD">
      <w:pPr>
        <w:rPr>
          <w:b/>
          <w:bCs/>
          <w:sz w:val="28"/>
          <w:szCs w:val="28"/>
        </w:rPr>
      </w:pPr>
    </w:p>
    <w:p w:rsidR="005F705B" w:rsidRDefault="005F705B" w:rsidP="001872FD">
      <w:pPr>
        <w:rPr>
          <w:szCs w:val="22"/>
        </w:rPr>
      </w:pPr>
      <w:r>
        <w:rPr>
          <w:szCs w:val="22"/>
        </w:rPr>
        <w:t>Ishøj Kommune har en aftale med NEA vedr. arkivering på følgende systemer, med bevaringsværdige oplysninger:</w:t>
      </w:r>
    </w:p>
    <w:p w:rsidR="005F705B" w:rsidRDefault="005F705B" w:rsidP="001872FD">
      <w:pPr>
        <w:rPr>
          <w:szCs w:val="22"/>
        </w:rPr>
      </w:pPr>
    </w:p>
    <w:p w:rsidR="005F705B" w:rsidRDefault="005F705B" w:rsidP="001872FD">
      <w:pPr>
        <w:rPr>
          <w:szCs w:val="22"/>
        </w:rPr>
      </w:pPr>
      <w:r>
        <w:rPr>
          <w:szCs w:val="22"/>
        </w:rPr>
        <w:t>GeoEnviron</w:t>
      </w:r>
    </w:p>
    <w:p w:rsidR="005F705B" w:rsidRDefault="005F705B" w:rsidP="001872FD">
      <w:pPr>
        <w:rPr>
          <w:szCs w:val="22"/>
        </w:rPr>
      </w:pPr>
      <w:r>
        <w:rPr>
          <w:szCs w:val="22"/>
        </w:rPr>
        <w:t>SBSYS</w:t>
      </w:r>
    </w:p>
    <w:p w:rsidR="005F705B" w:rsidRDefault="005F705B" w:rsidP="001872FD">
      <w:pPr>
        <w:rPr>
          <w:szCs w:val="22"/>
        </w:rPr>
      </w:pPr>
      <w:r>
        <w:rPr>
          <w:szCs w:val="22"/>
        </w:rPr>
        <w:t>KMD Institution</w:t>
      </w:r>
    </w:p>
    <w:p w:rsidR="005F705B" w:rsidRDefault="005F705B" w:rsidP="001872FD">
      <w:pPr>
        <w:rPr>
          <w:szCs w:val="22"/>
        </w:rPr>
      </w:pPr>
      <w:r>
        <w:rPr>
          <w:szCs w:val="22"/>
        </w:rPr>
        <w:t>KMD Struktura Byggesag</w:t>
      </w:r>
    </w:p>
    <w:p w:rsidR="005F705B" w:rsidRDefault="005F705B" w:rsidP="001872FD">
      <w:pPr>
        <w:rPr>
          <w:szCs w:val="22"/>
        </w:rPr>
      </w:pPr>
      <w:r>
        <w:rPr>
          <w:szCs w:val="22"/>
        </w:rPr>
        <w:t>KMD EKJ</w:t>
      </w:r>
    </w:p>
    <w:p w:rsidR="005F705B" w:rsidRDefault="005F705B" w:rsidP="001872FD">
      <w:pPr>
        <w:rPr>
          <w:szCs w:val="22"/>
        </w:rPr>
      </w:pPr>
      <w:r>
        <w:rPr>
          <w:szCs w:val="22"/>
        </w:rPr>
        <w:t>KMD Aktiv</w:t>
      </w:r>
    </w:p>
    <w:p w:rsidR="005F705B" w:rsidRDefault="005F705B" w:rsidP="001872FD">
      <w:pPr>
        <w:rPr>
          <w:szCs w:val="22"/>
        </w:rPr>
      </w:pPr>
      <w:r>
        <w:rPr>
          <w:szCs w:val="22"/>
        </w:rPr>
        <w:t>KMD Elev</w:t>
      </w:r>
    </w:p>
    <w:p w:rsidR="005F705B" w:rsidRDefault="005F705B" w:rsidP="001872FD">
      <w:pPr>
        <w:rPr>
          <w:szCs w:val="22"/>
        </w:rPr>
      </w:pPr>
      <w:r>
        <w:rPr>
          <w:szCs w:val="22"/>
        </w:rPr>
        <w:t>KMD Opus Økonomi</w:t>
      </w:r>
    </w:p>
    <w:p w:rsidR="005F705B" w:rsidRDefault="005F705B" w:rsidP="001872FD">
      <w:pPr>
        <w:rPr>
          <w:szCs w:val="22"/>
        </w:rPr>
      </w:pPr>
      <w:r>
        <w:rPr>
          <w:szCs w:val="22"/>
        </w:rPr>
        <w:t>KMD sag</w:t>
      </w:r>
    </w:p>
    <w:p w:rsidR="004F6E3D" w:rsidRDefault="004F6E3D" w:rsidP="001872FD">
      <w:pPr>
        <w:rPr>
          <w:szCs w:val="22"/>
        </w:rPr>
      </w:pPr>
      <w:r>
        <w:rPr>
          <w:szCs w:val="22"/>
        </w:rPr>
        <w:t>KMD Care</w:t>
      </w:r>
    </w:p>
    <w:p w:rsidR="004F6E3D" w:rsidRDefault="004F6E3D" w:rsidP="001872FD">
      <w:pPr>
        <w:rPr>
          <w:szCs w:val="22"/>
        </w:rPr>
      </w:pPr>
      <w:r>
        <w:rPr>
          <w:szCs w:val="22"/>
        </w:rPr>
        <w:t>KMD ØS</w:t>
      </w:r>
    </w:p>
    <w:p w:rsidR="005F705B" w:rsidRDefault="005F705B" w:rsidP="001872FD">
      <w:pPr>
        <w:rPr>
          <w:szCs w:val="22"/>
        </w:rPr>
      </w:pPr>
      <w:r>
        <w:rPr>
          <w:szCs w:val="22"/>
        </w:rPr>
        <w:t>Novax</w:t>
      </w:r>
    </w:p>
    <w:p w:rsidR="005F705B" w:rsidRDefault="005F705B" w:rsidP="001872FD">
      <w:pPr>
        <w:rPr>
          <w:szCs w:val="22"/>
        </w:rPr>
      </w:pPr>
      <w:r>
        <w:rPr>
          <w:szCs w:val="22"/>
        </w:rPr>
        <w:t>Novax Sundhedspleje</w:t>
      </w:r>
    </w:p>
    <w:p w:rsidR="005F705B" w:rsidRDefault="005F705B" w:rsidP="001872FD">
      <w:pPr>
        <w:rPr>
          <w:szCs w:val="22"/>
        </w:rPr>
      </w:pPr>
      <w:r>
        <w:rPr>
          <w:szCs w:val="22"/>
        </w:rPr>
        <w:t>Rambøll Care</w:t>
      </w:r>
    </w:p>
    <w:p w:rsidR="005F705B" w:rsidRDefault="005F705B" w:rsidP="001872FD">
      <w:pPr>
        <w:rPr>
          <w:szCs w:val="22"/>
        </w:rPr>
      </w:pPr>
      <w:r>
        <w:rPr>
          <w:szCs w:val="22"/>
        </w:rPr>
        <w:t>Tabulex</w:t>
      </w:r>
    </w:p>
    <w:p w:rsidR="005F705B" w:rsidRDefault="004F6E3D" w:rsidP="001872FD">
      <w:pPr>
        <w:rPr>
          <w:szCs w:val="22"/>
        </w:rPr>
      </w:pPr>
      <w:r>
        <w:rPr>
          <w:szCs w:val="22"/>
        </w:rPr>
        <w:t>WinPPR</w:t>
      </w:r>
    </w:p>
    <w:p w:rsidR="004F6E3D" w:rsidRPr="005F705B" w:rsidRDefault="004F6E3D" w:rsidP="001872FD">
      <w:pPr>
        <w:rPr>
          <w:szCs w:val="22"/>
        </w:rPr>
      </w:pPr>
      <w:r>
        <w:rPr>
          <w:szCs w:val="22"/>
        </w:rPr>
        <w:t>Komma</w:t>
      </w:r>
    </w:p>
    <w:sectPr w:rsidR="004F6E3D" w:rsidRPr="005F705B" w:rsidSect="00C83A47">
      <w:pgSz w:w="11907" w:h="16840"/>
      <w:pgMar w:top="567" w:right="1588" w:bottom="567" w:left="1701" w:header="709" w:footer="272"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2596" w:rsidRDefault="00E52596">
      <w:r>
        <w:separator/>
      </w:r>
    </w:p>
  </w:endnote>
  <w:endnote w:type="continuationSeparator" w:id="0">
    <w:p w:rsidR="00E52596" w:rsidRDefault="00E525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265B" w:rsidRDefault="0060265B" w:rsidP="0011245B">
    <w:pPr>
      <w:pStyle w:val="Sidefod"/>
      <w:tabs>
        <w:tab w:val="clear" w:pos="4986"/>
      </w:tabs>
      <w:jc w:val="center"/>
      <w:rPr>
        <w:rFonts w:cs="Arial"/>
        <w:b/>
        <w:bCs/>
        <w:color w:val="808080"/>
        <w:sz w:val="20"/>
      </w:rPr>
    </w:pPr>
    <w:r>
      <w:rPr>
        <w:noProof/>
      </w:rPr>
      <w:drawing>
        <wp:anchor distT="0" distB="0" distL="114300" distR="114300" simplePos="0" relativeHeight="251657216" behindDoc="1" locked="0" layoutInCell="1" allowOverlap="1">
          <wp:simplePos x="0" y="0"/>
          <wp:positionH relativeFrom="column">
            <wp:posOffset>5060950</wp:posOffset>
          </wp:positionH>
          <wp:positionV relativeFrom="paragraph">
            <wp:posOffset>-1662430</wp:posOffset>
          </wp:positionV>
          <wp:extent cx="1889760" cy="2096770"/>
          <wp:effectExtent l="19050" t="0" r="0" b="0"/>
          <wp:wrapNone/>
          <wp:docPr id="8" name="Billede 6" descr="byvaaben_streg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6" descr="byvaaben_streg15"/>
                  <pic:cNvPicPr>
                    <a:picLocks noChangeAspect="1" noChangeArrowheads="1"/>
                  </pic:cNvPicPr>
                </pic:nvPicPr>
                <pic:blipFill>
                  <a:blip r:embed="rId1"/>
                  <a:srcRect/>
                  <a:stretch>
                    <a:fillRect/>
                  </a:stretch>
                </pic:blipFill>
                <pic:spPr bwMode="auto">
                  <a:xfrm>
                    <a:off x="0" y="0"/>
                    <a:ext cx="1889760" cy="2096770"/>
                  </a:xfrm>
                  <a:prstGeom prst="rect">
                    <a:avLst/>
                  </a:prstGeom>
                  <a:noFill/>
                </pic:spPr>
              </pic:pic>
            </a:graphicData>
          </a:graphic>
        </wp:anchor>
      </w:drawing>
    </w:r>
  </w:p>
  <w:p w:rsidR="0060265B" w:rsidRPr="006F5930" w:rsidRDefault="0060265B" w:rsidP="006F5930">
    <w:pPr>
      <w:tabs>
        <w:tab w:val="right" w:pos="9972"/>
      </w:tabs>
      <w:jc w:val="center"/>
      <w:rPr>
        <w:rFonts w:cs="Arial"/>
        <w:color w:val="808080"/>
        <w:sz w:val="20"/>
      </w:rPr>
    </w:pPr>
    <w:r w:rsidRPr="006F5930">
      <w:rPr>
        <w:rFonts w:cs="Arial"/>
        <w:b/>
        <w:bCs/>
        <w:color w:val="808080"/>
        <w:sz w:val="20"/>
      </w:rPr>
      <w:t>Ishøj Rådhus</w:t>
    </w:r>
    <w:r w:rsidRPr="006F5930">
      <w:rPr>
        <w:rFonts w:cs="Arial"/>
        <w:color w:val="808080"/>
        <w:sz w:val="20"/>
      </w:rPr>
      <w:t xml:space="preserve"> </w:t>
    </w:r>
    <w:r w:rsidRPr="006F5930">
      <w:rPr>
        <w:rFonts w:cs="Arial"/>
        <w:color w:val="808080"/>
        <w:sz w:val="20"/>
      </w:rPr>
      <w:sym w:font="Wingdings" w:char="F077"/>
    </w:r>
    <w:r w:rsidRPr="006F5930">
      <w:rPr>
        <w:rFonts w:cs="Arial"/>
        <w:color w:val="808080"/>
        <w:sz w:val="20"/>
      </w:rPr>
      <w:t xml:space="preserve">Ishøj Store Torv 20 </w:t>
    </w:r>
    <w:r w:rsidRPr="006F5930">
      <w:rPr>
        <w:rFonts w:cs="Arial"/>
        <w:color w:val="808080"/>
        <w:sz w:val="20"/>
      </w:rPr>
      <w:sym w:font="Wingdings" w:char="F077"/>
    </w:r>
    <w:r w:rsidRPr="006F5930">
      <w:rPr>
        <w:rFonts w:cs="Arial"/>
        <w:color w:val="808080"/>
        <w:sz w:val="20"/>
      </w:rPr>
      <w:t xml:space="preserve"> 2635 Ishøj </w:t>
    </w:r>
    <w:r w:rsidRPr="006F5930">
      <w:rPr>
        <w:rFonts w:cs="Arial"/>
        <w:color w:val="808080"/>
        <w:sz w:val="20"/>
      </w:rPr>
      <w:sym w:font="Wingdings" w:char="F077"/>
    </w:r>
    <w:r w:rsidRPr="006F5930">
      <w:rPr>
        <w:rFonts w:cs="Arial"/>
        <w:color w:val="808080"/>
        <w:sz w:val="20"/>
      </w:rPr>
      <w:t xml:space="preserve"> Telefon 43 57 75 75 </w:t>
    </w:r>
    <w:r w:rsidRPr="006F5930">
      <w:rPr>
        <w:rFonts w:cs="Arial"/>
        <w:color w:val="808080"/>
        <w:sz w:val="20"/>
      </w:rPr>
      <w:sym w:font="Wingdings" w:char="F077"/>
    </w:r>
    <w:r w:rsidRPr="006F5930">
      <w:rPr>
        <w:rFonts w:cs="Arial"/>
        <w:color w:val="808080"/>
        <w:sz w:val="20"/>
      </w:rPr>
      <w:t xml:space="preserve"> Ishojkommune@ishoj.dk</w:t>
    </w:r>
  </w:p>
  <w:p w:rsidR="0060265B" w:rsidRPr="006F5930" w:rsidRDefault="0060265B" w:rsidP="006F5930">
    <w:pPr>
      <w:tabs>
        <w:tab w:val="right" w:pos="9972"/>
      </w:tabs>
      <w:jc w:val="center"/>
      <w:rPr>
        <w:rFonts w:cs="Arial"/>
        <w:color w:val="808080"/>
        <w:sz w:val="20"/>
      </w:rPr>
    </w:pPr>
    <w:r w:rsidRPr="006F5930">
      <w:rPr>
        <w:rFonts w:cs="Arial"/>
        <w:color w:val="808080"/>
        <w:sz w:val="20"/>
      </w:rPr>
      <w:t xml:space="preserve">www.ishoj.dk  </w:t>
    </w:r>
    <w:r w:rsidRPr="006F5930">
      <w:rPr>
        <w:rFonts w:cs="Arial"/>
        <w:color w:val="808080"/>
        <w:sz w:val="20"/>
      </w:rPr>
      <w:sym w:font="Wingdings" w:char="F077"/>
    </w:r>
    <w:r w:rsidRPr="006F5930">
      <w:rPr>
        <w:rFonts w:cs="Arial"/>
        <w:color w:val="808080"/>
        <w:sz w:val="20"/>
      </w:rPr>
      <w:t xml:space="preserve"> Telefontid: </w:t>
    </w:r>
    <w:r w:rsidR="00AB0136" w:rsidRPr="006F5930">
      <w:rPr>
        <w:rFonts w:cs="Arial"/>
        <w:color w:val="808080"/>
        <w:sz w:val="20"/>
      </w:rPr>
      <w:t>mandag</w:t>
    </w:r>
    <w:r w:rsidRPr="006F5930">
      <w:rPr>
        <w:rFonts w:cs="Arial"/>
        <w:color w:val="808080"/>
        <w:sz w:val="20"/>
      </w:rPr>
      <w:t>, tirsdag og onsdag kl. 9-15, torsdag kl.12-17, fredag kl. 9-13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265B" w:rsidRDefault="0060265B">
    <w:pPr>
      <w:pStyle w:val="Sidefod"/>
      <w:tabs>
        <w:tab w:val="clear" w:pos="4986"/>
      </w:tabs>
      <w:rPr>
        <w:rFonts w:cs="Arial"/>
        <w:b/>
        <w:bCs/>
        <w:color w:val="80808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2596" w:rsidRDefault="00E52596">
      <w:r>
        <w:separator/>
      </w:r>
    </w:p>
  </w:footnote>
  <w:footnote w:type="continuationSeparator" w:id="0">
    <w:p w:rsidR="00E52596" w:rsidRDefault="00E52596">
      <w:r>
        <w:continuationSeparator/>
      </w:r>
    </w:p>
  </w:footnote>
  <w:footnote w:id="1">
    <w:p w:rsidR="00032ECE" w:rsidRDefault="00032ECE">
      <w:pPr>
        <w:pStyle w:val="Fodnotetekst"/>
      </w:pPr>
      <w:r>
        <w:rPr>
          <w:rStyle w:val="Fodnotehenvisning"/>
        </w:rPr>
        <w:footnoteRef/>
      </w:r>
      <w:r>
        <w:t xml:space="preserve"> </w:t>
      </w:r>
      <w:r w:rsidRPr="00E84970">
        <w:rPr>
          <w:sz w:val="18"/>
          <w:szCs w:val="18"/>
        </w:rPr>
        <w:t xml:space="preserve">Personoplysninger er anonymiseret, hvis det </w:t>
      </w:r>
      <w:r w:rsidR="00E84970" w:rsidRPr="00E84970">
        <w:rPr>
          <w:sz w:val="18"/>
          <w:szCs w:val="18"/>
        </w:rPr>
        <w:t xml:space="preserve">ikke er muligt </w:t>
      </w:r>
      <w:r w:rsidRPr="00E84970">
        <w:rPr>
          <w:sz w:val="18"/>
          <w:szCs w:val="18"/>
        </w:rPr>
        <w:t xml:space="preserve">at identificere en person på baggrund af </w:t>
      </w:r>
      <w:r w:rsidR="00E84970" w:rsidRPr="00E84970">
        <w:rPr>
          <w:sz w:val="18"/>
          <w:szCs w:val="18"/>
        </w:rPr>
        <w:t>oplysningerne eller i kombination med andre oplysninger</w:t>
      </w:r>
      <w:r w:rsidRPr="00E84970">
        <w:rPr>
          <w:sz w:val="18"/>
          <w:szCs w:val="18"/>
        </w:rPr>
        <w:t>. Det er således ikke tilstrækkeligt at erstatte et navn med et nummer f.eks., hvis det på nogen måde er muligt at finde ud af, hvilken person der har fået hvilket nummer.</w:t>
      </w:r>
    </w:p>
  </w:footnote>
  <w:footnote w:id="2">
    <w:p w:rsidR="00611AEB" w:rsidRDefault="00611AEB" w:rsidP="00611AEB">
      <w:pPr>
        <w:rPr>
          <w:b/>
          <w:bCs/>
        </w:rPr>
      </w:pPr>
      <w:r>
        <w:rPr>
          <w:rStyle w:val="Fodnotehenvisning"/>
        </w:rPr>
        <w:footnoteRef/>
      </w:r>
      <w:r>
        <w:t xml:space="preserve"> </w:t>
      </w:r>
      <w:r w:rsidRPr="00611AEB">
        <w:rPr>
          <w:sz w:val="18"/>
          <w:szCs w:val="18"/>
        </w:rPr>
        <w:t>NEA står for ’Netværk for Elektronisk Arkivering’ og er et samarbejde mellem Københavns Stadsarkiv og en række kommuner omkring elektronisk arkivering – landets største netværk af kommunale § 7-arkiver.</w:t>
      </w:r>
    </w:p>
    <w:p w:rsidR="00611AEB" w:rsidRDefault="00611AEB">
      <w:pPr>
        <w:pStyle w:val="Fodnoteteks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265B" w:rsidRDefault="0060265B" w:rsidP="004C7CC5">
    <w:pPr>
      <w:pStyle w:val="Sidehoved"/>
      <w:tabs>
        <w:tab w:val="left" w:pos="1701"/>
      </w:tabs>
    </w:pPr>
    <w:r>
      <w:rPr>
        <w:noProof/>
      </w:rPr>
      <w:drawing>
        <wp:anchor distT="0" distB="0" distL="114300" distR="114300" simplePos="0" relativeHeight="251658240" behindDoc="1" locked="0" layoutInCell="1" allowOverlap="1">
          <wp:simplePos x="0" y="0"/>
          <wp:positionH relativeFrom="column">
            <wp:posOffset>-10795</wp:posOffset>
          </wp:positionH>
          <wp:positionV relativeFrom="paragraph">
            <wp:posOffset>-164465</wp:posOffset>
          </wp:positionV>
          <wp:extent cx="6291580" cy="710565"/>
          <wp:effectExtent l="19050" t="0" r="0" b="0"/>
          <wp:wrapNone/>
          <wp:docPr id="9" name="Billede 7" descr="A4_farve_brev_juni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7" descr="A4_farve_brev_juni11"/>
                  <pic:cNvPicPr>
                    <a:picLocks noChangeAspect="1" noChangeArrowheads="1"/>
                  </pic:cNvPicPr>
                </pic:nvPicPr>
                <pic:blipFill>
                  <a:blip r:embed="rId1"/>
                  <a:srcRect/>
                  <a:stretch>
                    <a:fillRect/>
                  </a:stretch>
                </pic:blipFill>
                <pic:spPr bwMode="auto">
                  <a:xfrm>
                    <a:off x="0" y="0"/>
                    <a:ext cx="6291580" cy="710565"/>
                  </a:xfrm>
                  <a:prstGeom prst="rect">
                    <a:avLst/>
                  </a:prstGeom>
                  <a:noFill/>
                </pic:spPr>
              </pic:pic>
            </a:graphicData>
          </a:graphic>
        </wp:anchor>
      </w:drawing>
    </w:r>
    <w:r>
      <w:t xml:space="preserve"> </w:t>
    </w:r>
  </w:p>
  <w:p w:rsidR="0060265B" w:rsidRDefault="0060265B">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265B" w:rsidRDefault="0060265B">
    <w:pPr>
      <w:pStyle w:val="Sidehoved"/>
    </w:pPr>
  </w:p>
  <w:p w:rsidR="0060265B" w:rsidRDefault="0060265B">
    <w:pPr>
      <w:pStyle w:val="Sidehoved"/>
    </w:pPr>
  </w:p>
  <w:p w:rsidR="0060265B" w:rsidRDefault="0060265B">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0"/>
  <w:autoHyphenation/>
  <w:hyphenationZone w:val="170"/>
  <w:drawingGridHorizontalSpacing w:val="119"/>
  <w:drawingGridVerticalSpacing w:val="119"/>
  <w:displayHorizontalDrawingGridEvery w:val="2"/>
  <w:displayVerticalDrawingGridEvery w:val="2"/>
  <w:doNotUseMarginsForDrawingGridOrigin/>
  <w:drawingGridVerticalOrigin w:val="1985"/>
  <w:noPunctuationKerning/>
  <w:characterSpacingControl w:val="doNotCompress"/>
  <w:hdrShapeDefaults>
    <o:shapedefaults v:ext="edit" spidmax="10241"/>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540"/>
    <w:rsid w:val="00000F8B"/>
    <w:rsid w:val="00022998"/>
    <w:rsid w:val="00032ECE"/>
    <w:rsid w:val="0004571A"/>
    <w:rsid w:val="00070AD1"/>
    <w:rsid w:val="0007121E"/>
    <w:rsid w:val="000712CC"/>
    <w:rsid w:val="00087CC4"/>
    <w:rsid w:val="0009209F"/>
    <w:rsid w:val="000E00D1"/>
    <w:rsid w:val="000E1FEA"/>
    <w:rsid w:val="000F3E3B"/>
    <w:rsid w:val="00101D0A"/>
    <w:rsid w:val="00106607"/>
    <w:rsid w:val="0011245B"/>
    <w:rsid w:val="00126AE6"/>
    <w:rsid w:val="00144C04"/>
    <w:rsid w:val="00153482"/>
    <w:rsid w:val="00155966"/>
    <w:rsid w:val="001872FD"/>
    <w:rsid w:val="001A336F"/>
    <w:rsid w:val="001B1768"/>
    <w:rsid w:val="001B60DF"/>
    <w:rsid w:val="001E6039"/>
    <w:rsid w:val="00223663"/>
    <w:rsid w:val="00225D5A"/>
    <w:rsid w:val="002338F5"/>
    <w:rsid w:val="00253A04"/>
    <w:rsid w:val="002C5BF5"/>
    <w:rsid w:val="002C7CE5"/>
    <w:rsid w:val="002F3EB7"/>
    <w:rsid w:val="00370E38"/>
    <w:rsid w:val="003749C7"/>
    <w:rsid w:val="003A2DE1"/>
    <w:rsid w:val="003A4DAB"/>
    <w:rsid w:val="003B5A2C"/>
    <w:rsid w:val="003D549E"/>
    <w:rsid w:val="003F1F1B"/>
    <w:rsid w:val="003F6522"/>
    <w:rsid w:val="004057AA"/>
    <w:rsid w:val="004204FF"/>
    <w:rsid w:val="004216E2"/>
    <w:rsid w:val="00426DF2"/>
    <w:rsid w:val="00436783"/>
    <w:rsid w:val="00437909"/>
    <w:rsid w:val="00442429"/>
    <w:rsid w:val="00480EF3"/>
    <w:rsid w:val="00497445"/>
    <w:rsid w:val="004B4875"/>
    <w:rsid w:val="004C5260"/>
    <w:rsid w:val="004C6D63"/>
    <w:rsid w:val="004C7CC5"/>
    <w:rsid w:val="004D1B83"/>
    <w:rsid w:val="004F6E3D"/>
    <w:rsid w:val="00507234"/>
    <w:rsid w:val="00537281"/>
    <w:rsid w:val="0054331B"/>
    <w:rsid w:val="00576938"/>
    <w:rsid w:val="0058743C"/>
    <w:rsid w:val="00593C53"/>
    <w:rsid w:val="005970B0"/>
    <w:rsid w:val="005B2658"/>
    <w:rsid w:val="005C4D09"/>
    <w:rsid w:val="005C5895"/>
    <w:rsid w:val="005D3540"/>
    <w:rsid w:val="005F02A3"/>
    <w:rsid w:val="005F1C68"/>
    <w:rsid w:val="005F5DD2"/>
    <w:rsid w:val="005F705B"/>
    <w:rsid w:val="0060265B"/>
    <w:rsid w:val="00611AEB"/>
    <w:rsid w:val="00637555"/>
    <w:rsid w:val="006518D5"/>
    <w:rsid w:val="00656F84"/>
    <w:rsid w:val="00660526"/>
    <w:rsid w:val="006653F5"/>
    <w:rsid w:val="00677A81"/>
    <w:rsid w:val="006C6F48"/>
    <w:rsid w:val="006E2AF5"/>
    <w:rsid w:val="006E7D71"/>
    <w:rsid w:val="006F3EC2"/>
    <w:rsid w:val="006F5930"/>
    <w:rsid w:val="0073056C"/>
    <w:rsid w:val="0077061D"/>
    <w:rsid w:val="0079264D"/>
    <w:rsid w:val="00792CE6"/>
    <w:rsid w:val="0079580A"/>
    <w:rsid w:val="0079762C"/>
    <w:rsid w:val="007A2DD6"/>
    <w:rsid w:val="007C3134"/>
    <w:rsid w:val="007E294E"/>
    <w:rsid w:val="00812080"/>
    <w:rsid w:val="0082465B"/>
    <w:rsid w:val="00842EAF"/>
    <w:rsid w:val="00854368"/>
    <w:rsid w:val="00855FB3"/>
    <w:rsid w:val="0086673E"/>
    <w:rsid w:val="00876289"/>
    <w:rsid w:val="00884219"/>
    <w:rsid w:val="00894597"/>
    <w:rsid w:val="00900C3D"/>
    <w:rsid w:val="00912922"/>
    <w:rsid w:val="009203D7"/>
    <w:rsid w:val="00926759"/>
    <w:rsid w:val="00946384"/>
    <w:rsid w:val="00975CAF"/>
    <w:rsid w:val="0097732A"/>
    <w:rsid w:val="00982AF4"/>
    <w:rsid w:val="0099736C"/>
    <w:rsid w:val="009C0EC5"/>
    <w:rsid w:val="009C4FC4"/>
    <w:rsid w:val="009D58C9"/>
    <w:rsid w:val="00A019B3"/>
    <w:rsid w:val="00A42595"/>
    <w:rsid w:val="00AA7A37"/>
    <w:rsid w:val="00AB0136"/>
    <w:rsid w:val="00AB383E"/>
    <w:rsid w:val="00AC7926"/>
    <w:rsid w:val="00AE7330"/>
    <w:rsid w:val="00B11B27"/>
    <w:rsid w:val="00B13893"/>
    <w:rsid w:val="00B2118D"/>
    <w:rsid w:val="00B45C10"/>
    <w:rsid w:val="00B465F2"/>
    <w:rsid w:val="00B53C5B"/>
    <w:rsid w:val="00B70FCF"/>
    <w:rsid w:val="00B731D6"/>
    <w:rsid w:val="00B74392"/>
    <w:rsid w:val="00B85C67"/>
    <w:rsid w:val="00BA1CEF"/>
    <w:rsid w:val="00BA3A79"/>
    <w:rsid w:val="00BB0133"/>
    <w:rsid w:val="00BC1F73"/>
    <w:rsid w:val="00BC6CC5"/>
    <w:rsid w:val="00BF3921"/>
    <w:rsid w:val="00C05847"/>
    <w:rsid w:val="00C10EB0"/>
    <w:rsid w:val="00C32093"/>
    <w:rsid w:val="00C83A47"/>
    <w:rsid w:val="00C8405E"/>
    <w:rsid w:val="00CA319C"/>
    <w:rsid w:val="00CE4AD1"/>
    <w:rsid w:val="00D01BE0"/>
    <w:rsid w:val="00D05535"/>
    <w:rsid w:val="00D4792A"/>
    <w:rsid w:val="00DB0381"/>
    <w:rsid w:val="00DD2C39"/>
    <w:rsid w:val="00DE02A3"/>
    <w:rsid w:val="00E07803"/>
    <w:rsid w:val="00E26663"/>
    <w:rsid w:val="00E31262"/>
    <w:rsid w:val="00E514C5"/>
    <w:rsid w:val="00E52596"/>
    <w:rsid w:val="00E61136"/>
    <w:rsid w:val="00E62A77"/>
    <w:rsid w:val="00E67BFA"/>
    <w:rsid w:val="00E84970"/>
    <w:rsid w:val="00E90F48"/>
    <w:rsid w:val="00EA4212"/>
    <w:rsid w:val="00EC0938"/>
    <w:rsid w:val="00F07D2F"/>
    <w:rsid w:val="00F1202F"/>
    <w:rsid w:val="00F241DB"/>
    <w:rsid w:val="00F61747"/>
    <w:rsid w:val="00F6406A"/>
    <w:rsid w:val="00F67939"/>
    <w:rsid w:val="00F70017"/>
    <w:rsid w:val="00F7536C"/>
    <w:rsid w:val="00FD48DB"/>
    <w:rsid w:val="00FD6D85"/>
    <w:rsid w:val="00FE3E39"/>
    <w:rsid w:val="00FE7709"/>
    <w:rsid w:val="00FF0018"/>
    <w:rsid w:val="00FF0D7F"/>
    <w:rsid w:val="00FF2DDA"/>
    <w:rsid w:val="00FF7D9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8433743D-C626-4D04-BEE4-00EDBFD9D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970B0"/>
    <w:pPr>
      <w:overflowPunct w:val="0"/>
      <w:autoSpaceDE w:val="0"/>
      <w:autoSpaceDN w:val="0"/>
      <w:adjustRightInd w:val="0"/>
      <w:textAlignment w:val="baseline"/>
    </w:pPr>
    <w:rPr>
      <w:rFonts w:ascii="Arial" w:hAnsi="Arial"/>
      <w:spacing w:val="-3"/>
      <w:sz w:val="22"/>
    </w:rPr>
  </w:style>
  <w:style w:type="paragraph" w:styleId="Overskrift1">
    <w:name w:val="heading 1"/>
    <w:basedOn w:val="Normal"/>
    <w:next w:val="Normal"/>
    <w:link w:val="Overskrift1Tegn"/>
    <w:uiPriority w:val="9"/>
    <w:qFormat/>
    <w:rsid w:val="005970B0"/>
    <w:pPr>
      <w:keepNext/>
      <w:spacing w:before="240" w:after="60"/>
      <w:outlineLvl w:val="0"/>
    </w:pPr>
    <w:rPr>
      <w:b/>
      <w:bCs/>
      <w:kern w:val="32"/>
      <w:sz w:val="24"/>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semiHidden/>
    <w:rsid w:val="00DE02A3"/>
    <w:pPr>
      <w:tabs>
        <w:tab w:val="center" w:pos="4986"/>
        <w:tab w:val="right" w:pos="9972"/>
      </w:tabs>
    </w:pPr>
  </w:style>
  <w:style w:type="paragraph" w:styleId="Brdtekst">
    <w:name w:val="Body Text"/>
    <w:basedOn w:val="Normal"/>
    <w:semiHidden/>
    <w:rsid w:val="00DE02A3"/>
    <w:pPr>
      <w:spacing w:after="120"/>
    </w:pPr>
  </w:style>
  <w:style w:type="paragraph" w:styleId="Sidefod">
    <w:name w:val="footer"/>
    <w:basedOn w:val="Normal"/>
    <w:link w:val="SidefodTegn"/>
    <w:uiPriority w:val="99"/>
    <w:semiHidden/>
    <w:rsid w:val="00DE02A3"/>
    <w:pPr>
      <w:tabs>
        <w:tab w:val="center" w:pos="4986"/>
        <w:tab w:val="right" w:pos="9972"/>
      </w:tabs>
    </w:pPr>
  </w:style>
  <w:style w:type="character" w:customStyle="1" w:styleId="Overskrift1Tegn">
    <w:name w:val="Overskrift 1 Tegn"/>
    <w:basedOn w:val="Standardskrifttypeiafsnit"/>
    <w:link w:val="Overskrift1"/>
    <w:uiPriority w:val="9"/>
    <w:rsid w:val="005970B0"/>
    <w:rPr>
      <w:rFonts w:ascii="Arial" w:eastAsia="Times New Roman" w:hAnsi="Arial" w:cs="Times New Roman"/>
      <w:b/>
      <w:bCs/>
      <w:spacing w:val="-3"/>
      <w:kern w:val="32"/>
      <w:sz w:val="24"/>
      <w:szCs w:val="32"/>
    </w:rPr>
  </w:style>
  <w:style w:type="paragraph" w:customStyle="1" w:styleId="Sidebar-Sagsbehandlermm">
    <w:name w:val="Sidebar - Sagsbehandler m.m."/>
    <w:basedOn w:val="Normal"/>
    <w:qFormat/>
    <w:rsid w:val="000712CC"/>
    <w:rPr>
      <w:b/>
      <w:sz w:val="18"/>
    </w:rPr>
  </w:style>
  <w:style w:type="paragraph" w:customStyle="1" w:styleId="Sidebar-Sagsbehandlermminfoen">
    <w:name w:val="Sidebar - Sagsbehandler m.m. infoen"/>
    <w:basedOn w:val="Sidebar-Sagsbehandlermm"/>
    <w:qFormat/>
    <w:rsid w:val="000712CC"/>
    <w:rPr>
      <w:b w:val="0"/>
      <w:sz w:val="15"/>
    </w:rPr>
  </w:style>
  <w:style w:type="character" w:customStyle="1" w:styleId="SidefodTegn">
    <w:name w:val="Sidefod Tegn"/>
    <w:basedOn w:val="Standardskrifttypeiafsnit"/>
    <w:link w:val="Sidefod"/>
    <w:uiPriority w:val="99"/>
    <w:semiHidden/>
    <w:locked/>
    <w:rsid w:val="006F5930"/>
    <w:rPr>
      <w:rFonts w:ascii="Arial" w:hAnsi="Arial"/>
      <w:spacing w:val="-3"/>
      <w:sz w:val="22"/>
    </w:rPr>
  </w:style>
  <w:style w:type="table" w:styleId="Tabel-Gitter">
    <w:name w:val="Table Grid"/>
    <w:basedOn w:val="Tabel-Normal"/>
    <w:rsid w:val="005D35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henvisning">
    <w:name w:val="annotation reference"/>
    <w:basedOn w:val="Standardskrifttypeiafsnit"/>
    <w:uiPriority w:val="99"/>
    <w:semiHidden/>
    <w:unhideWhenUsed/>
    <w:rsid w:val="003B5A2C"/>
    <w:rPr>
      <w:sz w:val="16"/>
      <w:szCs w:val="16"/>
    </w:rPr>
  </w:style>
  <w:style w:type="paragraph" w:styleId="Kommentartekst">
    <w:name w:val="annotation text"/>
    <w:basedOn w:val="Normal"/>
    <w:link w:val="KommentartekstTegn"/>
    <w:uiPriority w:val="99"/>
    <w:semiHidden/>
    <w:unhideWhenUsed/>
    <w:rsid w:val="003B5A2C"/>
    <w:rPr>
      <w:sz w:val="20"/>
    </w:rPr>
  </w:style>
  <w:style w:type="character" w:customStyle="1" w:styleId="KommentartekstTegn">
    <w:name w:val="Kommentartekst Tegn"/>
    <w:basedOn w:val="Standardskrifttypeiafsnit"/>
    <w:link w:val="Kommentartekst"/>
    <w:uiPriority w:val="99"/>
    <w:semiHidden/>
    <w:rsid w:val="003B5A2C"/>
    <w:rPr>
      <w:rFonts w:ascii="Arial" w:hAnsi="Arial"/>
      <w:spacing w:val="-3"/>
    </w:rPr>
  </w:style>
  <w:style w:type="paragraph" w:styleId="Kommentaremne">
    <w:name w:val="annotation subject"/>
    <w:basedOn w:val="Kommentartekst"/>
    <w:next w:val="Kommentartekst"/>
    <w:link w:val="KommentaremneTegn"/>
    <w:uiPriority w:val="99"/>
    <w:semiHidden/>
    <w:unhideWhenUsed/>
    <w:rsid w:val="003B5A2C"/>
    <w:rPr>
      <w:b/>
      <w:bCs/>
    </w:rPr>
  </w:style>
  <w:style w:type="character" w:customStyle="1" w:styleId="KommentaremneTegn">
    <w:name w:val="Kommentaremne Tegn"/>
    <w:basedOn w:val="KommentartekstTegn"/>
    <w:link w:val="Kommentaremne"/>
    <w:uiPriority w:val="99"/>
    <w:semiHidden/>
    <w:rsid w:val="003B5A2C"/>
    <w:rPr>
      <w:rFonts w:ascii="Arial" w:hAnsi="Arial"/>
      <w:b/>
      <w:bCs/>
      <w:spacing w:val="-3"/>
    </w:rPr>
  </w:style>
  <w:style w:type="paragraph" w:styleId="Markeringsbobletekst">
    <w:name w:val="Balloon Text"/>
    <w:basedOn w:val="Normal"/>
    <w:link w:val="MarkeringsbobletekstTegn"/>
    <w:uiPriority w:val="99"/>
    <w:semiHidden/>
    <w:unhideWhenUsed/>
    <w:rsid w:val="003B5A2C"/>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3B5A2C"/>
    <w:rPr>
      <w:rFonts w:ascii="Tahoma" w:hAnsi="Tahoma" w:cs="Tahoma"/>
      <w:spacing w:val="-3"/>
      <w:sz w:val="16"/>
      <w:szCs w:val="16"/>
    </w:rPr>
  </w:style>
  <w:style w:type="character" w:styleId="Hyperlink">
    <w:name w:val="Hyperlink"/>
    <w:basedOn w:val="Standardskrifttypeiafsnit"/>
    <w:uiPriority w:val="99"/>
    <w:unhideWhenUsed/>
    <w:rsid w:val="00637555"/>
    <w:rPr>
      <w:color w:val="0000FF" w:themeColor="hyperlink"/>
      <w:u w:val="single"/>
    </w:rPr>
  </w:style>
  <w:style w:type="character" w:styleId="Ulstomtale">
    <w:name w:val="Unresolved Mention"/>
    <w:basedOn w:val="Standardskrifttypeiafsnit"/>
    <w:uiPriority w:val="99"/>
    <w:semiHidden/>
    <w:unhideWhenUsed/>
    <w:rsid w:val="00637555"/>
    <w:rPr>
      <w:color w:val="605E5C"/>
      <w:shd w:val="clear" w:color="auto" w:fill="E1DFDD"/>
    </w:rPr>
  </w:style>
  <w:style w:type="paragraph" w:styleId="Fodnotetekst">
    <w:name w:val="footnote text"/>
    <w:basedOn w:val="Normal"/>
    <w:link w:val="FodnotetekstTegn"/>
    <w:uiPriority w:val="99"/>
    <w:semiHidden/>
    <w:unhideWhenUsed/>
    <w:rsid w:val="00611AEB"/>
    <w:rPr>
      <w:sz w:val="20"/>
    </w:rPr>
  </w:style>
  <w:style w:type="character" w:customStyle="1" w:styleId="FodnotetekstTegn">
    <w:name w:val="Fodnotetekst Tegn"/>
    <w:basedOn w:val="Standardskrifttypeiafsnit"/>
    <w:link w:val="Fodnotetekst"/>
    <w:uiPriority w:val="99"/>
    <w:semiHidden/>
    <w:rsid w:val="00611AEB"/>
    <w:rPr>
      <w:rFonts w:ascii="Arial" w:hAnsi="Arial"/>
      <w:spacing w:val="-3"/>
    </w:rPr>
  </w:style>
  <w:style w:type="character" w:styleId="Fodnotehenvisning">
    <w:name w:val="footnote reference"/>
    <w:basedOn w:val="Standardskrifttypeiafsnit"/>
    <w:uiPriority w:val="99"/>
    <w:semiHidden/>
    <w:unhideWhenUsed/>
    <w:rsid w:val="00611AE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9121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kle-online.dk" TargetMode="External"/><Relationship Id="rId4" Type="http://schemas.openxmlformats.org/officeDocument/2006/relationships/webSettings" Target="webSettings.xml"/><Relationship Id="rId9" Type="http://schemas.openxmlformats.org/officeDocument/2006/relationships/hyperlink" Target="mailto:lje@ishoj.dk"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EA522A-46E4-411B-BB3D-08E547318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731</Words>
  <Characters>4512</Characters>
  <Application>Microsoft Office Word</Application>
  <DocSecurity>4</DocSecurity>
  <Lines>37</Lines>
  <Paragraphs>10</Paragraphs>
  <ScaleCrop>false</ScaleCrop>
  <HeadingPairs>
    <vt:vector size="2" baseType="variant">
      <vt:variant>
        <vt:lpstr>Titel</vt:lpstr>
      </vt:variant>
      <vt:variant>
        <vt:i4>1</vt:i4>
      </vt:variant>
    </vt:vector>
  </HeadingPairs>
  <TitlesOfParts>
    <vt:vector size="1" baseType="lpstr">
      <vt:lpstr>Navn</vt:lpstr>
    </vt:vector>
  </TitlesOfParts>
  <Company>Ishøj Kommune</Company>
  <LinksUpToDate>false</LinksUpToDate>
  <CharactersWithSpaces>5233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Navn</dc:title>
  <dc:creator>36637</dc:creator>
  <cp:lastModifiedBy>Ali Abdulovski</cp:lastModifiedBy>
  <cp:revision>2</cp:revision>
  <cp:lastPrinted>2020-05-07T14:06:00Z</cp:lastPrinted>
  <dcterms:created xsi:type="dcterms:W3CDTF">2020-08-28T08:14:00Z</dcterms:created>
  <dcterms:modified xsi:type="dcterms:W3CDTF">2020-08-28T08:14:00Z</dcterms:modified>
</cp:coreProperties>
</file>