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A6F2F" w14:textId="3EE686E1" w:rsidR="00223878" w:rsidRDefault="007A6DB0" w:rsidP="000438EF">
      <w:pPr>
        <w:pStyle w:val="Titel"/>
      </w:pPr>
      <w:r>
        <w:t>Retningslinjer for t</w:t>
      </w:r>
      <w:r w:rsidR="00496C10">
        <w:t>ilsyn med databehandlere</w:t>
      </w:r>
    </w:p>
    <w:p w14:paraId="49B083E0" w14:textId="13BFFCF9" w:rsidR="00371665" w:rsidRDefault="00371665" w:rsidP="00371665"/>
    <w:p w14:paraId="0C9B726C" w14:textId="017734B2" w:rsidR="00E500F8" w:rsidRDefault="00496C10" w:rsidP="00E500F8">
      <w:bookmarkStart w:id="0" w:name="_Hlk83092604"/>
      <w:r>
        <w:t xml:space="preserve">Når der er indgået en </w:t>
      </w:r>
      <w:r w:rsidR="00A47326">
        <w:t>databehandleraftale</w:t>
      </w:r>
      <w:r>
        <w:t xml:space="preserve"> med den leverandør</w:t>
      </w:r>
      <w:r w:rsidR="00A47326">
        <w:t>, følger en række afledte opgaver</w:t>
      </w:r>
      <w:r>
        <w:t>, herunder pligten til at foretage en risikovurdering og føre tilsyn med databehandleren.</w:t>
      </w:r>
    </w:p>
    <w:bookmarkEnd w:id="0"/>
    <w:p w14:paraId="179CCF55" w14:textId="75CABF13" w:rsidR="00496C10" w:rsidRDefault="00496C10" w:rsidP="00E500F8"/>
    <w:p w14:paraId="236BED76" w14:textId="7AC8A1E3" w:rsidR="00496C10" w:rsidRDefault="00496C10" w:rsidP="00496C10">
      <w:r>
        <w:t xml:space="preserve">I </w:t>
      </w:r>
      <w:r w:rsidR="00C8534F">
        <w:t>persondata</w:t>
      </w:r>
      <w:r>
        <w:t>forordningens artikel 5 listes syv principper for hvordan man bør behandle persondata. Jf. princip nr. 7 ”Ansvarlighed” skal den dataansvarlige kunne påvise, at alle principper efterleves ved de behandlinger, der foretages. Denne dokumentationsforpligtelse løftes b.la. gennem fortegnelser og ved tilsyn med databehandler.</w:t>
      </w:r>
    </w:p>
    <w:p w14:paraId="6C7D6761" w14:textId="77777777" w:rsidR="00496C10" w:rsidRPr="00B014EF" w:rsidRDefault="00496C10" w:rsidP="00E500F8">
      <w:pPr>
        <w:rPr>
          <w:color w:val="FF0000"/>
        </w:rPr>
      </w:pPr>
    </w:p>
    <w:p w14:paraId="73EA64FD" w14:textId="77777777" w:rsidR="00E500F8" w:rsidRPr="00B014EF" w:rsidRDefault="00E500F8" w:rsidP="00E500F8">
      <w:pPr>
        <w:rPr>
          <w:color w:val="FF0000"/>
        </w:rPr>
      </w:pPr>
    </w:p>
    <w:p w14:paraId="02312251" w14:textId="77777777" w:rsidR="00E500F8" w:rsidRPr="00B014EF" w:rsidRDefault="00E500F8" w:rsidP="00E500F8">
      <w:pPr>
        <w:rPr>
          <w:color w:val="FF0000"/>
        </w:rPr>
      </w:pPr>
      <w:r w:rsidRPr="00B014EF">
        <w:rPr>
          <w:noProof/>
          <w:color w:val="FF0000"/>
        </w:rPr>
        <w:drawing>
          <wp:inline distT="0" distB="0" distL="0" distR="0" wp14:anchorId="31FE4030" wp14:editId="52BCCE61">
            <wp:extent cx="6162675" cy="628650"/>
            <wp:effectExtent l="19050" t="114300" r="123825" b="1714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155333D" w14:textId="77777777" w:rsidR="00E500F8" w:rsidRPr="00E500F8" w:rsidRDefault="00E500F8" w:rsidP="00E500F8"/>
    <w:p w14:paraId="0DC1520C" w14:textId="77777777" w:rsidR="003630D0" w:rsidRPr="00B014EF" w:rsidRDefault="003630D0" w:rsidP="003630D0">
      <w:pPr>
        <w:rPr>
          <w:color w:val="FF0000"/>
        </w:rPr>
      </w:pPr>
    </w:p>
    <w:p w14:paraId="3CDA0F4A" w14:textId="3E5C48D9" w:rsidR="0083400A" w:rsidRDefault="0083400A" w:rsidP="009B4A18">
      <w:pPr>
        <w:spacing w:line="276" w:lineRule="auto"/>
        <w:rPr>
          <w:color w:val="FF0000"/>
        </w:rPr>
      </w:pPr>
    </w:p>
    <w:p w14:paraId="33875B9B" w14:textId="77777777" w:rsidR="003630D0" w:rsidRDefault="003630D0" w:rsidP="003630D0"/>
    <w:p w14:paraId="0D0F4F04" w14:textId="7CC88446" w:rsidR="00AE79CB" w:rsidRDefault="00AE79CB" w:rsidP="003442D8">
      <w:pPr>
        <w:pStyle w:val="Overskrift1"/>
      </w:pPr>
      <w:r>
        <w:t>Tilsyn med databehandlere</w:t>
      </w:r>
    </w:p>
    <w:p w14:paraId="1171E1D4" w14:textId="7A6B0579" w:rsidR="00812785" w:rsidRPr="00680FD7" w:rsidRDefault="00812785" w:rsidP="00812785">
      <w:r w:rsidRPr="00680FD7">
        <w:t>Planlægningen af tilsyn med databehandlere starter ved indgåelsen af databehandleraftalen, hvor</w:t>
      </w:r>
      <w:r w:rsidR="00AD0967" w:rsidRPr="00680FD7">
        <w:t xml:space="preserve"> frekvens og tilsynsform besluttes</w:t>
      </w:r>
      <w:r w:rsidR="000307B8" w:rsidRPr="00680FD7">
        <w:t xml:space="preserve"> med udgangspunkt i </w:t>
      </w:r>
      <w:r w:rsidRPr="00680FD7">
        <w:t>risikovurdering</w:t>
      </w:r>
      <w:r w:rsidR="00AD0967" w:rsidRPr="00680FD7">
        <w:t>en</w:t>
      </w:r>
      <w:r w:rsidR="00C2126E" w:rsidRPr="00680FD7">
        <w:t>.</w:t>
      </w:r>
    </w:p>
    <w:p w14:paraId="11AF6993" w14:textId="77777777" w:rsidR="00812785" w:rsidRPr="00680FD7" w:rsidRDefault="00812785" w:rsidP="00B014EF"/>
    <w:p w14:paraId="4B8DE82A" w14:textId="5B100C29" w:rsidR="00B014EF" w:rsidRPr="00680FD7" w:rsidRDefault="00B014EF" w:rsidP="00B014EF">
      <w:r w:rsidRPr="00680FD7">
        <w:t>Tilsynet</w:t>
      </w:r>
      <w:r w:rsidR="00311268" w:rsidRPr="00680FD7">
        <w:t xml:space="preserve"> med databehandlere</w:t>
      </w:r>
      <w:r w:rsidRPr="00680FD7">
        <w:t xml:space="preserve"> kan foretages enten via indhentelse af en revisionserklæring eller via et spørgeskema. </w:t>
      </w:r>
    </w:p>
    <w:p w14:paraId="1E107112" w14:textId="77777777" w:rsidR="00B014EF" w:rsidRPr="00680FD7" w:rsidRDefault="00B014EF" w:rsidP="00B014EF">
      <w:r w:rsidRPr="00680FD7">
        <w:t>Upåagtet om der anvendes en revisorerklæring eller et spørgeskema er formålet med tilsynet at give Ishøj Kommune sikkerhed for, at databehandlere lever op til kravene i GDPR, som de har forpligtiget sig til ved indgåelse af databehandleraftalen.</w:t>
      </w:r>
    </w:p>
    <w:p w14:paraId="77CE82E6" w14:textId="77777777" w:rsidR="00B014EF" w:rsidRPr="00680FD7" w:rsidRDefault="00B014EF" w:rsidP="00B014EF">
      <w:r w:rsidRPr="00680FD7">
        <w:t>Tilsynet kan ofte med fordel kombineres med det faglige tilsyn af leverandøren.</w:t>
      </w:r>
    </w:p>
    <w:p w14:paraId="488096B5" w14:textId="77777777" w:rsidR="00B014EF" w:rsidRPr="00680FD7" w:rsidRDefault="00B014EF" w:rsidP="00B014EF"/>
    <w:p w14:paraId="2E94C568" w14:textId="2F2FB8DF" w:rsidR="00B014EF" w:rsidRPr="00680FD7" w:rsidRDefault="00B014EF" w:rsidP="00B014EF">
      <w:r w:rsidRPr="00680FD7">
        <w:t xml:space="preserve">Frekvensen af tilsyn og formen herfor, afhænger af en konkret risikovurdering af den enkelte databehandler. Jo større risiko, des oftere bør tilsyn føres, og dette bør eventuelt ske ved fysisk tilsyn. </w:t>
      </w:r>
    </w:p>
    <w:p w14:paraId="0835A322" w14:textId="77777777" w:rsidR="00FE2A6E" w:rsidRPr="00680FD7" w:rsidRDefault="00FE2A6E" w:rsidP="00FE2A6E"/>
    <w:p w14:paraId="0CC0077A" w14:textId="77777777" w:rsidR="00FE2A6E" w:rsidRPr="00680FD7" w:rsidRDefault="00FE2A6E" w:rsidP="003442D8">
      <w:pPr>
        <w:pStyle w:val="Overskrift2"/>
      </w:pPr>
      <w:r w:rsidRPr="00680FD7">
        <w:t>Fælles tilsyn via Den Storkøbenhavnske Digitaliseringsforening (DSD)</w:t>
      </w:r>
    </w:p>
    <w:p w14:paraId="47D16033" w14:textId="4DD7F972" w:rsidR="00FE2A6E" w:rsidRDefault="00392EFA" w:rsidP="00B014EF">
      <w:pPr>
        <w:rPr>
          <w:bCs/>
        </w:rPr>
      </w:pPr>
      <w:r w:rsidRPr="00680FD7">
        <w:t xml:space="preserve">Nogle tilsyn vil blive foretaget i regi af Den Storkøbenhavnske Digitaliseringsforening (DSD), hvor Ishøj Kommune er medlem. </w:t>
      </w:r>
      <w:r w:rsidRPr="00680FD7">
        <w:rPr>
          <w:bCs/>
        </w:rPr>
        <w:t xml:space="preserve">DSD har en ressource ansat til at føre tilsyn med de systemer, som er fælles eller udbredt blandt foreningens medlemskommuner. </w:t>
      </w:r>
    </w:p>
    <w:p w14:paraId="71896107" w14:textId="77777777" w:rsidR="002669EE" w:rsidRPr="002669EE" w:rsidRDefault="002669EE" w:rsidP="00B014EF">
      <w:pPr>
        <w:rPr>
          <w:bCs/>
        </w:rPr>
      </w:pPr>
    </w:p>
    <w:p w14:paraId="2109F251" w14:textId="77777777" w:rsidR="00B014EF" w:rsidRPr="00680FD7" w:rsidRDefault="00B014EF" w:rsidP="00B014EF"/>
    <w:p w14:paraId="15A1C9BF" w14:textId="513E0B11" w:rsidR="00B014EF" w:rsidRPr="00680FD7" w:rsidRDefault="00680FD7" w:rsidP="003442D8">
      <w:pPr>
        <w:pStyle w:val="Overskrift2"/>
      </w:pPr>
      <w:r w:rsidRPr="00680FD7">
        <w:t>F</w:t>
      </w:r>
      <w:r w:rsidR="00B014EF" w:rsidRPr="00680FD7">
        <w:t>rekvens og tilsynsform</w:t>
      </w:r>
    </w:p>
    <w:p w14:paraId="576C1761" w14:textId="75A24FBB" w:rsidR="009F49CA" w:rsidRDefault="00B014EF" w:rsidP="009F49CA">
      <w:r w:rsidRPr="00680FD7">
        <w:t>Frekvensen af, hvor ofte der skal foretages tilsyn med databehandleren, og hvilken tilsynsform der anvendes, afhænger af risikovurderingen.</w:t>
      </w:r>
      <w:r w:rsidR="009F49CA">
        <w:t xml:space="preserve"> Jo større mængder af følsomme data leverandøren</w:t>
      </w:r>
    </w:p>
    <w:p w14:paraId="7AC56053" w14:textId="68C9C006" w:rsidR="00B014EF" w:rsidRPr="00680FD7" w:rsidRDefault="009F49CA" w:rsidP="009F49CA">
      <w:r>
        <w:lastRenderedPageBreak/>
        <w:t>behandler, jo mere omfattende skal tilsynet være.</w:t>
      </w:r>
    </w:p>
    <w:p w14:paraId="010D5C59" w14:textId="3C58A81C" w:rsidR="00B014EF" w:rsidRDefault="00B014EF" w:rsidP="00B014EF"/>
    <w:p w14:paraId="303603FA" w14:textId="77777777" w:rsidR="003442D8" w:rsidRPr="00680FD7" w:rsidRDefault="003442D8" w:rsidP="00B014EF"/>
    <w:p w14:paraId="789C701C" w14:textId="77777777" w:rsidR="00B014EF" w:rsidRPr="00680FD7" w:rsidRDefault="00B014EF" w:rsidP="003442D8">
      <w:pPr>
        <w:pStyle w:val="Overskrift2"/>
      </w:pPr>
      <w:bookmarkStart w:id="1" w:name="_Hlk78854564"/>
      <w:r w:rsidRPr="00680FD7">
        <w:t>Valg af frekvens</w:t>
      </w:r>
    </w:p>
    <w:bookmarkEnd w:id="1"/>
    <w:p w14:paraId="3F307B40" w14:textId="4AF89425" w:rsidR="00B014EF" w:rsidRDefault="00B014EF" w:rsidP="00B014EF">
      <w:r w:rsidRPr="00680FD7">
        <w:t>Hvis risikoen er høj, kan det være nødvendigt at foretage tilsyn med databehandleren halvårligt eller årligt. Hvis risikoen er lav, kan du som dataansvarlig nøjedes med at påse din databehandlers behandlingssikkerhed med en lavere frekvens. Datatilsynet kommer dog ikke med nærmere præcisering af, hvad "lavere frekvens" indebærer.</w:t>
      </w:r>
    </w:p>
    <w:p w14:paraId="0EBC6837" w14:textId="77777777" w:rsidR="009F49CA" w:rsidRPr="00680FD7" w:rsidRDefault="009F49CA" w:rsidP="00B014EF"/>
    <w:p w14:paraId="41F51D51" w14:textId="77777777" w:rsidR="00B014EF" w:rsidRPr="00680FD7" w:rsidRDefault="00B014EF" w:rsidP="00B014EF"/>
    <w:p w14:paraId="737288CF" w14:textId="77777777" w:rsidR="00B014EF" w:rsidRPr="00680FD7" w:rsidRDefault="00B014EF" w:rsidP="003442D8">
      <w:pPr>
        <w:pStyle w:val="Overskrift2"/>
      </w:pPr>
      <w:r w:rsidRPr="00680FD7">
        <w:t>Valg af tilsynsform</w:t>
      </w:r>
    </w:p>
    <w:p w14:paraId="0BF76BFB" w14:textId="77777777" w:rsidR="00B014EF" w:rsidRPr="00680FD7" w:rsidRDefault="00B014EF" w:rsidP="00B014EF">
      <w:r w:rsidRPr="00680FD7">
        <w:t xml:space="preserve">Alt efter den identificerede risiko kan tilsynet af databehandlere foretages som et fysisk besøg eller som en skriftlig informationsindsamling. </w:t>
      </w:r>
    </w:p>
    <w:p w14:paraId="2DF63C8C" w14:textId="20AD4055" w:rsidR="00B014EF" w:rsidRPr="00680FD7" w:rsidRDefault="00B014EF" w:rsidP="00B014EF">
      <w:r w:rsidRPr="00680FD7">
        <w:t xml:space="preserve">Hvis risikoen for de registreredes rettigheder vurderes høj, kan det være nødvendigt at foretage fysisk tilsyn med databehandleren. Momenter i </w:t>
      </w:r>
      <w:r w:rsidR="00211AE7" w:rsidRPr="00680FD7">
        <w:t>risikovurderingen</w:t>
      </w:r>
      <w:r w:rsidRPr="00680FD7">
        <w:t xml:space="preserve">, som kan tale for et fysisk </w:t>
      </w:r>
      <w:r w:rsidR="0090595E" w:rsidRPr="00680FD7">
        <w:t>tilsyn,</w:t>
      </w:r>
      <w:r w:rsidRPr="00680FD7">
        <w:t xml:space="preserve"> er blandt andet delegation og brug af administrative rettigheder, adgangen til persondata, pålagte sletteregler m.fl. </w:t>
      </w:r>
    </w:p>
    <w:p w14:paraId="5A7DA1D2" w14:textId="77777777" w:rsidR="00B014EF" w:rsidRPr="00680FD7" w:rsidRDefault="00B014EF" w:rsidP="00B014EF"/>
    <w:p w14:paraId="20B5E2C3" w14:textId="77777777" w:rsidR="00B014EF" w:rsidRPr="00680FD7" w:rsidRDefault="00B014EF" w:rsidP="00B014EF">
      <w:r w:rsidRPr="00680FD7">
        <w:t xml:space="preserve">Tilsynet kan foretages enten via indhentelse af en revisionserklæring eller via et spørgeskema. </w:t>
      </w:r>
    </w:p>
    <w:p w14:paraId="7CC914C6" w14:textId="77777777" w:rsidR="00B014EF" w:rsidRPr="00680FD7" w:rsidRDefault="00B014EF" w:rsidP="00B014EF">
      <w:r w:rsidRPr="00680FD7">
        <w:t xml:space="preserve">En revisionserklæring (eksempelvis ISAE 3000 eller ISAE 3402) er udarbejdet af en uvildig tredjepart og anvendes ofte til større leverandører eller leverandører, der behandler følsomme oplysninger. </w:t>
      </w:r>
    </w:p>
    <w:p w14:paraId="492EEA23" w14:textId="6ED9B743" w:rsidR="00B014EF" w:rsidRDefault="00B014EF" w:rsidP="00B014EF">
      <w:r w:rsidRPr="00680FD7">
        <w:t>Et spørgeskema udsendes af dataansvarlig og anvendes ofte til mindre leverandører, der ikke behandler følsomme eller store mængder af oplysninger.</w:t>
      </w:r>
    </w:p>
    <w:p w14:paraId="315868C5" w14:textId="77777777" w:rsidR="009F49CA" w:rsidRPr="00680FD7" w:rsidRDefault="009F49CA" w:rsidP="00B014EF"/>
    <w:p w14:paraId="27D92472" w14:textId="414AE6AF" w:rsidR="00B014EF" w:rsidRDefault="00B014EF" w:rsidP="00B014EF">
      <w:r w:rsidRPr="00680FD7">
        <w:t>Upåagtet om der anvendes en revisorerklæring eller et spørgeskema er formålet med tilsynet at give Ishøj Kommune sikkerhed for, at databehandlere lever op til kravene i GDPR, som de har forpligtiget sig til ved indgåelse af databehandleraftalen.</w:t>
      </w:r>
    </w:p>
    <w:p w14:paraId="7180AE00" w14:textId="3843948D" w:rsidR="005C08B2" w:rsidRDefault="005C08B2" w:rsidP="00B014EF"/>
    <w:p w14:paraId="35591EBB" w14:textId="1389C971" w:rsidR="005C08B2" w:rsidRDefault="005C08B2" w:rsidP="00B014EF">
      <w:r>
        <w:t xml:space="preserve">I udgangspunktet kan opstilles følgende </w:t>
      </w:r>
      <w:r w:rsidR="00A77DEA">
        <w:t>vejledning</w:t>
      </w:r>
      <w:r>
        <w:t xml:space="preserve"> for frekvens og tilsynsform</w:t>
      </w:r>
      <w:r w:rsidR="00A77DEA">
        <w:t>:</w:t>
      </w:r>
    </w:p>
    <w:p w14:paraId="5F610B36" w14:textId="77777777" w:rsidR="00A77DEA" w:rsidRDefault="00A77DEA" w:rsidP="00B014EF"/>
    <w:tbl>
      <w:tblPr>
        <w:tblStyle w:val="Tabel-Gitter"/>
        <w:tblW w:w="0" w:type="auto"/>
        <w:tblInd w:w="-62" w:type="dxa"/>
        <w:tblCellMar>
          <w:left w:w="57" w:type="dxa"/>
          <w:right w:w="57" w:type="dxa"/>
        </w:tblCellMar>
        <w:tblLook w:val="04A0" w:firstRow="1" w:lastRow="0" w:firstColumn="1" w:lastColumn="0" w:noHBand="0" w:noVBand="1"/>
      </w:tblPr>
      <w:tblGrid>
        <w:gridCol w:w="2042"/>
        <w:gridCol w:w="850"/>
        <w:gridCol w:w="993"/>
        <w:gridCol w:w="1417"/>
        <w:gridCol w:w="1843"/>
        <w:gridCol w:w="1871"/>
      </w:tblGrid>
      <w:tr w:rsidR="00A77DEA" w:rsidRPr="00A77DEA" w14:paraId="7D50670E" w14:textId="77777777" w:rsidTr="00A77DEA">
        <w:tc>
          <w:tcPr>
            <w:tcW w:w="2042" w:type="dxa"/>
          </w:tcPr>
          <w:p w14:paraId="0299CD55" w14:textId="5B23EAA2" w:rsidR="005C08B2" w:rsidRPr="00A77DEA" w:rsidRDefault="00A77DEA" w:rsidP="00A77DEA">
            <w:pPr>
              <w:ind w:left="0" w:firstLine="0"/>
              <w:rPr>
                <w:b/>
                <w:bCs/>
                <w:sz w:val="18"/>
                <w:szCs w:val="18"/>
              </w:rPr>
            </w:pPr>
            <w:r w:rsidRPr="00A77DEA">
              <w:rPr>
                <w:b/>
                <w:bCs/>
                <w:sz w:val="18"/>
                <w:szCs w:val="18"/>
              </w:rPr>
              <w:t>Leverandørtype</w:t>
            </w:r>
          </w:p>
        </w:tc>
        <w:tc>
          <w:tcPr>
            <w:tcW w:w="850" w:type="dxa"/>
          </w:tcPr>
          <w:p w14:paraId="684167DD" w14:textId="35D86D70" w:rsidR="005C08B2" w:rsidRPr="00A77DEA" w:rsidRDefault="005C08B2" w:rsidP="00A77DEA">
            <w:pPr>
              <w:ind w:left="0" w:firstLine="0"/>
              <w:rPr>
                <w:b/>
                <w:bCs/>
                <w:sz w:val="18"/>
                <w:szCs w:val="18"/>
              </w:rPr>
            </w:pPr>
            <w:proofErr w:type="spellStart"/>
            <w:r w:rsidRPr="00A77DEA">
              <w:rPr>
                <w:b/>
                <w:bCs/>
                <w:sz w:val="18"/>
                <w:szCs w:val="18"/>
              </w:rPr>
              <w:t>Risiko-vurdering</w:t>
            </w:r>
            <w:proofErr w:type="spellEnd"/>
          </w:p>
        </w:tc>
        <w:tc>
          <w:tcPr>
            <w:tcW w:w="993" w:type="dxa"/>
          </w:tcPr>
          <w:p w14:paraId="6166E263" w14:textId="010642E8" w:rsidR="005C08B2" w:rsidRPr="00A77DEA" w:rsidRDefault="005C08B2" w:rsidP="00A77DEA">
            <w:pPr>
              <w:ind w:left="0" w:firstLine="0"/>
              <w:rPr>
                <w:b/>
                <w:bCs/>
                <w:sz w:val="18"/>
                <w:szCs w:val="18"/>
              </w:rPr>
            </w:pPr>
            <w:r w:rsidRPr="00A77DEA">
              <w:rPr>
                <w:b/>
                <w:bCs/>
                <w:sz w:val="18"/>
                <w:szCs w:val="18"/>
              </w:rPr>
              <w:t>Frekvens</w:t>
            </w:r>
          </w:p>
        </w:tc>
        <w:tc>
          <w:tcPr>
            <w:tcW w:w="1417" w:type="dxa"/>
          </w:tcPr>
          <w:p w14:paraId="0F3B6461" w14:textId="77777777" w:rsidR="005C08B2" w:rsidRPr="00A77DEA" w:rsidRDefault="005C08B2" w:rsidP="00A77DEA">
            <w:pPr>
              <w:ind w:left="0" w:firstLine="0"/>
              <w:rPr>
                <w:b/>
                <w:bCs/>
                <w:sz w:val="18"/>
                <w:szCs w:val="18"/>
              </w:rPr>
            </w:pPr>
            <w:r w:rsidRPr="00A77DEA">
              <w:rPr>
                <w:b/>
                <w:bCs/>
                <w:sz w:val="18"/>
                <w:szCs w:val="18"/>
              </w:rPr>
              <w:t>IT-</w:t>
            </w:r>
          </w:p>
          <w:p w14:paraId="4307DCC2" w14:textId="62C734A4" w:rsidR="005C08B2" w:rsidRPr="00A77DEA" w:rsidRDefault="005C08B2" w:rsidP="00A77DEA">
            <w:pPr>
              <w:ind w:left="0" w:firstLine="0"/>
              <w:rPr>
                <w:b/>
                <w:bCs/>
                <w:sz w:val="18"/>
                <w:szCs w:val="18"/>
              </w:rPr>
            </w:pPr>
            <w:r w:rsidRPr="00A77DEA">
              <w:rPr>
                <w:b/>
                <w:bCs/>
                <w:sz w:val="18"/>
                <w:szCs w:val="18"/>
              </w:rPr>
              <w:t>revisorerklæring</w:t>
            </w:r>
          </w:p>
        </w:tc>
        <w:tc>
          <w:tcPr>
            <w:tcW w:w="1843" w:type="dxa"/>
          </w:tcPr>
          <w:p w14:paraId="1FACC6C9" w14:textId="56BF69DD" w:rsidR="005C08B2" w:rsidRPr="00A77DEA" w:rsidRDefault="005C08B2" w:rsidP="00A77DEA">
            <w:pPr>
              <w:ind w:left="0" w:firstLine="0"/>
              <w:rPr>
                <w:b/>
                <w:bCs/>
                <w:sz w:val="18"/>
                <w:szCs w:val="18"/>
              </w:rPr>
            </w:pPr>
            <w:r w:rsidRPr="00A77DEA">
              <w:rPr>
                <w:b/>
                <w:bCs/>
                <w:sz w:val="18"/>
                <w:szCs w:val="18"/>
              </w:rPr>
              <w:t>Fysisk tilsyn</w:t>
            </w:r>
          </w:p>
        </w:tc>
        <w:tc>
          <w:tcPr>
            <w:tcW w:w="1871" w:type="dxa"/>
          </w:tcPr>
          <w:p w14:paraId="077738D9" w14:textId="77777777" w:rsidR="005C08B2" w:rsidRPr="00A77DEA" w:rsidRDefault="005C08B2" w:rsidP="00A77DEA">
            <w:pPr>
              <w:ind w:left="0" w:firstLine="0"/>
              <w:rPr>
                <w:b/>
                <w:bCs/>
                <w:sz w:val="18"/>
                <w:szCs w:val="18"/>
              </w:rPr>
            </w:pPr>
            <w:r w:rsidRPr="00A77DEA">
              <w:rPr>
                <w:b/>
                <w:bCs/>
                <w:sz w:val="18"/>
                <w:szCs w:val="18"/>
              </w:rPr>
              <w:t>Interview/</w:t>
            </w:r>
          </w:p>
          <w:p w14:paraId="4252CB5C" w14:textId="0A52042F" w:rsidR="005C08B2" w:rsidRPr="00A77DEA" w:rsidRDefault="005C08B2" w:rsidP="00A77DEA">
            <w:pPr>
              <w:ind w:left="0" w:firstLine="0"/>
              <w:rPr>
                <w:b/>
                <w:bCs/>
                <w:sz w:val="18"/>
                <w:szCs w:val="18"/>
              </w:rPr>
            </w:pPr>
            <w:r w:rsidRPr="00A77DEA">
              <w:rPr>
                <w:b/>
                <w:bCs/>
                <w:sz w:val="18"/>
                <w:szCs w:val="18"/>
              </w:rPr>
              <w:t>spørgeskema</w:t>
            </w:r>
          </w:p>
        </w:tc>
      </w:tr>
      <w:tr w:rsidR="00A77DEA" w:rsidRPr="00A77DEA" w14:paraId="7BC3C969" w14:textId="77777777" w:rsidTr="00A77DEA">
        <w:tc>
          <w:tcPr>
            <w:tcW w:w="2042" w:type="dxa"/>
            <w:vMerge w:val="restart"/>
          </w:tcPr>
          <w:p w14:paraId="108E6DBD" w14:textId="01914AAA" w:rsidR="005C08B2" w:rsidRPr="00A77DEA" w:rsidRDefault="005C08B2" w:rsidP="00A77DEA">
            <w:pPr>
              <w:ind w:left="0" w:firstLine="0"/>
              <w:rPr>
                <w:sz w:val="18"/>
                <w:szCs w:val="18"/>
              </w:rPr>
            </w:pPr>
            <w:proofErr w:type="spellStart"/>
            <w:r w:rsidRPr="00A77DEA">
              <w:rPr>
                <w:sz w:val="18"/>
                <w:szCs w:val="18"/>
              </w:rPr>
              <w:t>Hostingfirma</w:t>
            </w:r>
            <w:proofErr w:type="spellEnd"/>
            <w:r w:rsidRPr="00A77DEA">
              <w:rPr>
                <w:sz w:val="18"/>
                <w:szCs w:val="18"/>
              </w:rPr>
              <w:t xml:space="preserve">, større </w:t>
            </w:r>
            <w:r w:rsidR="00A77DEA" w:rsidRPr="00A77DEA">
              <w:rPr>
                <w:sz w:val="18"/>
                <w:szCs w:val="18"/>
              </w:rPr>
              <w:t>IT-</w:t>
            </w:r>
            <w:r w:rsidRPr="00A77DEA">
              <w:rPr>
                <w:sz w:val="18"/>
                <w:szCs w:val="18"/>
              </w:rPr>
              <w:t xml:space="preserve">leverandører, databehandlingsbureauer </w:t>
            </w:r>
            <w:proofErr w:type="spellStart"/>
            <w:r w:rsidRPr="00A77DEA">
              <w:rPr>
                <w:sz w:val="18"/>
                <w:szCs w:val="18"/>
              </w:rPr>
              <w:t>o.l</w:t>
            </w:r>
            <w:proofErr w:type="spellEnd"/>
          </w:p>
        </w:tc>
        <w:tc>
          <w:tcPr>
            <w:tcW w:w="850" w:type="dxa"/>
          </w:tcPr>
          <w:p w14:paraId="58ED78A5" w14:textId="415B420B" w:rsidR="005C08B2" w:rsidRPr="00A77DEA" w:rsidRDefault="005C08B2" w:rsidP="00A77DEA">
            <w:pPr>
              <w:ind w:left="0" w:firstLine="0"/>
              <w:rPr>
                <w:sz w:val="18"/>
                <w:szCs w:val="18"/>
              </w:rPr>
            </w:pPr>
            <w:r w:rsidRPr="00A77DEA">
              <w:rPr>
                <w:sz w:val="18"/>
                <w:szCs w:val="18"/>
              </w:rPr>
              <w:t>Grøn</w:t>
            </w:r>
          </w:p>
        </w:tc>
        <w:tc>
          <w:tcPr>
            <w:tcW w:w="993" w:type="dxa"/>
          </w:tcPr>
          <w:p w14:paraId="4314A3A2" w14:textId="74DA738C" w:rsidR="005C08B2" w:rsidRPr="00A77DEA" w:rsidRDefault="005C08B2" w:rsidP="00A77DEA">
            <w:pPr>
              <w:ind w:left="0" w:firstLine="0"/>
              <w:rPr>
                <w:sz w:val="18"/>
                <w:szCs w:val="18"/>
              </w:rPr>
            </w:pPr>
            <w:r w:rsidRPr="00A77DEA">
              <w:rPr>
                <w:sz w:val="18"/>
                <w:szCs w:val="18"/>
              </w:rPr>
              <w:t xml:space="preserve">Hvert </w:t>
            </w:r>
            <w:r w:rsidR="00733F86">
              <w:rPr>
                <w:sz w:val="18"/>
                <w:szCs w:val="18"/>
              </w:rPr>
              <w:t>3</w:t>
            </w:r>
            <w:r w:rsidRPr="00A77DEA">
              <w:rPr>
                <w:sz w:val="18"/>
                <w:szCs w:val="18"/>
              </w:rPr>
              <w:t>. år</w:t>
            </w:r>
            <w:r w:rsidR="00733F86">
              <w:rPr>
                <w:sz w:val="18"/>
                <w:szCs w:val="18"/>
              </w:rPr>
              <w:t>**</w:t>
            </w:r>
          </w:p>
        </w:tc>
        <w:tc>
          <w:tcPr>
            <w:tcW w:w="1417" w:type="dxa"/>
          </w:tcPr>
          <w:p w14:paraId="09D64BA1" w14:textId="0C19D2BD" w:rsidR="005C08B2" w:rsidRPr="00A77DEA" w:rsidRDefault="00A77DEA" w:rsidP="00A77DEA">
            <w:pPr>
              <w:ind w:left="0" w:firstLine="0"/>
              <w:rPr>
                <w:sz w:val="18"/>
                <w:szCs w:val="18"/>
              </w:rPr>
            </w:pPr>
            <w:r w:rsidRPr="00A77DEA">
              <w:rPr>
                <w:sz w:val="18"/>
                <w:szCs w:val="18"/>
              </w:rPr>
              <w:t>Nej*</w:t>
            </w:r>
          </w:p>
        </w:tc>
        <w:tc>
          <w:tcPr>
            <w:tcW w:w="1843" w:type="dxa"/>
          </w:tcPr>
          <w:p w14:paraId="0E3237E3" w14:textId="77777777" w:rsidR="00A77DEA" w:rsidRPr="00A77DEA" w:rsidRDefault="00A77DEA" w:rsidP="00A77DEA">
            <w:pPr>
              <w:ind w:left="0" w:firstLine="0"/>
              <w:rPr>
                <w:sz w:val="18"/>
                <w:szCs w:val="18"/>
              </w:rPr>
            </w:pPr>
            <w:r w:rsidRPr="00A77DEA">
              <w:rPr>
                <w:sz w:val="18"/>
                <w:szCs w:val="18"/>
              </w:rPr>
              <w:t>Hvis en</w:t>
            </w:r>
          </w:p>
          <w:p w14:paraId="3796C12E" w14:textId="77777777" w:rsidR="00A77DEA" w:rsidRPr="00A77DEA" w:rsidRDefault="00A77DEA" w:rsidP="00A77DEA">
            <w:pPr>
              <w:ind w:left="0" w:firstLine="0"/>
              <w:rPr>
                <w:sz w:val="18"/>
                <w:szCs w:val="18"/>
              </w:rPr>
            </w:pPr>
            <w:r w:rsidRPr="00A77DEA">
              <w:rPr>
                <w:sz w:val="18"/>
                <w:szCs w:val="18"/>
              </w:rPr>
              <w:t>risikovurdering</w:t>
            </w:r>
          </w:p>
          <w:p w14:paraId="7D2027CA" w14:textId="2D7DC0A7" w:rsidR="005C08B2" w:rsidRPr="00A77DEA" w:rsidRDefault="00A77DEA" w:rsidP="00A77DEA">
            <w:pPr>
              <w:ind w:left="0" w:firstLine="0"/>
              <w:rPr>
                <w:sz w:val="18"/>
                <w:szCs w:val="18"/>
              </w:rPr>
            </w:pPr>
            <w:r w:rsidRPr="00A77DEA">
              <w:rPr>
                <w:sz w:val="18"/>
                <w:szCs w:val="18"/>
              </w:rPr>
              <w:t>siger det.</w:t>
            </w:r>
          </w:p>
        </w:tc>
        <w:tc>
          <w:tcPr>
            <w:tcW w:w="1871" w:type="dxa"/>
          </w:tcPr>
          <w:p w14:paraId="55A37B73" w14:textId="4AAA1741" w:rsidR="005C08B2" w:rsidRPr="00A77DEA" w:rsidRDefault="00A77DEA" w:rsidP="00A77DEA">
            <w:pPr>
              <w:ind w:left="0" w:firstLine="0"/>
              <w:rPr>
                <w:sz w:val="18"/>
                <w:szCs w:val="18"/>
              </w:rPr>
            </w:pPr>
            <w:r>
              <w:rPr>
                <w:sz w:val="18"/>
                <w:szCs w:val="18"/>
              </w:rPr>
              <w:t>Ja</w:t>
            </w:r>
          </w:p>
        </w:tc>
      </w:tr>
      <w:tr w:rsidR="00A77DEA" w:rsidRPr="00A77DEA" w14:paraId="48B1BA51" w14:textId="77777777" w:rsidTr="00A77DEA">
        <w:tc>
          <w:tcPr>
            <w:tcW w:w="2042" w:type="dxa"/>
            <w:vMerge/>
          </w:tcPr>
          <w:p w14:paraId="323A689E" w14:textId="77777777" w:rsidR="005C08B2" w:rsidRPr="00A77DEA" w:rsidRDefault="005C08B2" w:rsidP="00A77DEA">
            <w:pPr>
              <w:ind w:left="0" w:firstLine="0"/>
              <w:rPr>
                <w:sz w:val="18"/>
                <w:szCs w:val="18"/>
              </w:rPr>
            </w:pPr>
          </w:p>
        </w:tc>
        <w:tc>
          <w:tcPr>
            <w:tcW w:w="850" w:type="dxa"/>
          </w:tcPr>
          <w:p w14:paraId="05CC3C36" w14:textId="3CB96158" w:rsidR="005C08B2" w:rsidRPr="00A77DEA" w:rsidRDefault="005C08B2" w:rsidP="00A77DEA">
            <w:pPr>
              <w:ind w:left="0" w:firstLine="0"/>
              <w:rPr>
                <w:sz w:val="18"/>
                <w:szCs w:val="18"/>
              </w:rPr>
            </w:pPr>
            <w:r w:rsidRPr="00A77DEA">
              <w:rPr>
                <w:sz w:val="18"/>
                <w:szCs w:val="18"/>
              </w:rPr>
              <w:t>Gul</w:t>
            </w:r>
          </w:p>
        </w:tc>
        <w:tc>
          <w:tcPr>
            <w:tcW w:w="993" w:type="dxa"/>
          </w:tcPr>
          <w:p w14:paraId="072E89AF" w14:textId="04CF8ACA" w:rsidR="005C08B2" w:rsidRPr="00A77DEA" w:rsidRDefault="005C08B2" w:rsidP="00A77DEA">
            <w:pPr>
              <w:ind w:left="0" w:firstLine="0"/>
              <w:rPr>
                <w:sz w:val="18"/>
                <w:szCs w:val="18"/>
              </w:rPr>
            </w:pPr>
            <w:r w:rsidRPr="00A77DEA">
              <w:rPr>
                <w:sz w:val="18"/>
                <w:szCs w:val="18"/>
              </w:rPr>
              <w:t>Årlig</w:t>
            </w:r>
          </w:p>
        </w:tc>
        <w:tc>
          <w:tcPr>
            <w:tcW w:w="1417" w:type="dxa"/>
          </w:tcPr>
          <w:p w14:paraId="1F64BC8B" w14:textId="3F4C1D90" w:rsidR="005C08B2" w:rsidRPr="00A77DEA" w:rsidRDefault="00A77DEA" w:rsidP="00A77DEA">
            <w:pPr>
              <w:ind w:left="0" w:firstLine="0"/>
              <w:rPr>
                <w:sz w:val="18"/>
                <w:szCs w:val="18"/>
              </w:rPr>
            </w:pPr>
            <w:r w:rsidRPr="00A77DEA">
              <w:rPr>
                <w:sz w:val="18"/>
                <w:szCs w:val="18"/>
              </w:rPr>
              <w:t>Ja</w:t>
            </w:r>
          </w:p>
        </w:tc>
        <w:tc>
          <w:tcPr>
            <w:tcW w:w="1843" w:type="dxa"/>
          </w:tcPr>
          <w:p w14:paraId="76A1DC49" w14:textId="1A66AE93" w:rsidR="005C08B2" w:rsidRPr="00A77DEA" w:rsidRDefault="00A77DEA" w:rsidP="00A77DEA">
            <w:pPr>
              <w:ind w:left="0" w:firstLine="0"/>
              <w:rPr>
                <w:sz w:val="18"/>
                <w:szCs w:val="18"/>
              </w:rPr>
            </w:pPr>
            <w:r w:rsidRPr="00A77DEA">
              <w:rPr>
                <w:sz w:val="18"/>
                <w:szCs w:val="18"/>
              </w:rPr>
              <w:t>Hvis det ikke er muligt at få revisorerklæring</w:t>
            </w:r>
          </w:p>
        </w:tc>
        <w:tc>
          <w:tcPr>
            <w:tcW w:w="1871" w:type="dxa"/>
          </w:tcPr>
          <w:p w14:paraId="3A8CDAC6" w14:textId="5114BD84" w:rsidR="005C08B2" w:rsidRPr="00A77DEA" w:rsidRDefault="00A77DEA" w:rsidP="00A77DEA">
            <w:pPr>
              <w:ind w:left="0" w:firstLine="0"/>
              <w:rPr>
                <w:sz w:val="18"/>
                <w:szCs w:val="18"/>
              </w:rPr>
            </w:pPr>
            <w:r w:rsidRPr="00A77DEA">
              <w:rPr>
                <w:sz w:val="18"/>
                <w:szCs w:val="18"/>
              </w:rPr>
              <w:t>Hvis det ikke er muligt at få revisorerklæring</w:t>
            </w:r>
          </w:p>
        </w:tc>
      </w:tr>
      <w:tr w:rsidR="00A77DEA" w:rsidRPr="00A77DEA" w14:paraId="2A4CFF9E" w14:textId="77777777" w:rsidTr="00A77DEA">
        <w:tc>
          <w:tcPr>
            <w:tcW w:w="2042" w:type="dxa"/>
            <w:vMerge/>
          </w:tcPr>
          <w:p w14:paraId="40E91C7B" w14:textId="77777777" w:rsidR="005C08B2" w:rsidRPr="00A77DEA" w:rsidRDefault="005C08B2" w:rsidP="00A77DEA">
            <w:pPr>
              <w:ind w:left="0" w:firstLine="0"/>
              <w:rPr>
                <w:sz w:val="18"/>
                <w:szCs w:val="18"/>
              </w:rPr>
            </w:pPr>
          </w:p>
        </w:tc>
        <w:tc>
          <w:tcPr>
            <w:tcW w:w="850" w:type="dxa"/>
          </w:tcPr>
          <w:p w14:paraId="49F67E7D" w14:textId="78988FBB" w:rsidR="005C08B2" w:rsidRPr="00A77DEA" w:rsidRDefault="005C08B2" w:rsidP="00A77DEA">
            <w:pPr>
              <w:ind w:left="0" w:firstLine="0"/>
              <w:rPr>
                <w:sz w:val="18"/>
                <w:szCs w:val="18"/>
              </w:rPr>
            </w:pPr>
            <w:r w:rsidRPr="00A77DEA">
              <w:rPr>
                <w:sz w:val="18"/>
                <w:szCs w:val="18"/>
              </w:rPr>
              <w:t>Rød</w:t>
            </w:r>
          </w:p>
        </w:tc>
        <w:tc>
          <w:tcPr>
            <w:tcW w:w="993" w:type="dxa"/>
          </w:tcPr>
          <w:p w14:paraId="105F5928" w14:textId="5D6BF5B1" w:rsidR="005C08B2" w:rsidRPr="00A77DEA" w:rsidRDefault="005C08B2" w:rsidP="00A77DEA">
            <w:pPr>
              <w:ind w:left="0" w:firstLine="0"/>
              <w:rPr>
                <w:sz w:val="18"/>
                <w:szCs w:val="18"/>
              </w:rPr>
            </w:pPr>
            <w:r w:rsidRPr="00A77DEA">
              <w:rPr>
                <w:sz w:val="18"/>
                <w:szCs w:val="18"/>
              </w:rPr>
              <w:t>halvårligt</w:t>
            </w:r>
          </w:p>
        </w:tc>
        <w:tc>
          <w:tcPr>
            <w:tcW w:w="1417" w:type="dxa"/>
          </w:tcPr>
          <w:p w14:paraId="34EBFB8B" w14:textId="6F380142" w:rsidR="005C08B2" w:rsidRPr="00A77DEA" w:rsidRDefault="00A77DEA" w:rsidP="00A77DEA">
            <w:pPr>
              <w:ind w:left="0" w:firstLine="0"/>
              <w:rPr>
                <w:sz w:val="18"/>
                <w:szCs w:val="18"/>
              </w:rPr>
            </w:pPr>
            <w:r w:rsidRPr="00A77DEA">
              <w:rPr>
                <w:sz w:val="18"/>
                <w:szCs w:val="18"/>
              </w:rPr>
              <w:t>Ja</w:t>
            </w:r>
          </w:p>
        </w:tc>
        <w:tc>
          <w:tcPr>
            <w:tcW w:w="1843" w:type="dxa"/>
          </w:tcPr>
          <w:p w14:paraId="5C1DDD2F" w14:textId="704404F5" w:rsidR="005C08B2" w:rsidRPr="00A77DEA" w:rsidRDefault="00A77DEA" w:rsidP="00A77DEA">
            <w:pPr>
              <w:ind w:left="0" w:firstLine="0"/>
              <w:rPr>
                <w:sz w:val="18"/>
                <w:szCs w:val="18"/>
              </w:rPr>
            </w:pPr>
            <w:r w:rsidRPr="00A77DEA">
              <w:rPr>
                <w:sz w:val="18"/>
                <w:szCs w:val="18"/>
              </w:rPr>
              <w:t>Hvis det ikke er muligt at få revisorerklæring</w:t>
            </w:r>
          </w:p>
        </w:tc>
        <w:tc>
          <w:tcPr>
            <w:tcW w:w="1871" w:type="dxa"/>
          </w:tcPr>
          <w:p w14:paraId="00BB3E2D" w14:textId="23B7574F" w:rsidR="005C08B2" w:rsidRPr="00A77DEA" w:rsidRDefault="00A77DEA" w:rsidP="00A77DEA">
            <w:pPr>
              <w:ind w:left="0" w:firstLine="0"/>
              <w:rPr>
                <w:sz w:val="18"/>
                <w:szCs w:val="18"/>
              </w:rPr>
            </w:pPr>
            <w:r w:rsidRPr="00A77DEA">
              <w:rPr>
                <w:sz w:val="18"/>
                <w:szCs w:val="18"/>
              </w:rPr>
              <w:t>Hvis det ikke er muligt at få revisorerklæring</w:t>
            </w:r>
          </w:p>
        </w:tc>
      </w:tr>
      <w:tr w:rsidR="00A77DEA" w:rsidRPr="00A77DEA" w14:paraId="323C342C" w14:textId="77777777" w:rsidTr="00A77DEA">
        <w:tc>
          <w:tcPr>
            <w:tcW w:w="2042" w:type="dxa"/>
            <w:vMerge w:val="restart"/>
          </w:tcPr>
          <w:p w14:paraId="2112AACC" w14:textId="2ED9FD03" w:rsidR="005C08B2" w:rsidRPr="00A77DEA" w:rsidRDefault="005C08B2" w:rsidP="00A77DEA">
            <w:pPr>
              <w:ind w:left="0" w:firstLine="0"/>
              <w:rPr>
                <w:sz w:val="18"/>
                <w:szCs w:val="18"/>
              </w:rPr>
            </w:pPr>
            <w:r w:rsidRPr="00A77DEA">
              <w:rPr>
                <w:sz w:val="18"/>
                <w:szCs w:val="18"/>
              </w:rPr>
              <w:t>Leverandør der behandler få mængder af personoplysninger</w:t>
            </w:r>
          </w:p>
        </w:tc>
        <w:tc>
          <w:tcPr>
            <w:tcW w:w="850" w:type="dxa"/>
          </w:tcPr>
          <w:p w14:paraId="412159C0" w14:textId="45D20584" w:rsidR="005C08B2" w:rsidRPr="00A77DEA" w:rsidRDefault="005C08B2" w:rsidP="00A77DEA">
            <w:pPr>
              <w:ind w:left="0" w:firstLine="0"/>
              <w:rPr>
                <w:sz w:val="18"/>
                <w:szCs w:val="18"/>
              </w:rPr>
            </w:pPr>
            <w:r w:rsidRPr="00A77DEA">
              <w:rPr>
                <w:sz w:val="18"/>
                <w:szCs w:val="18"/>
              </w:rPr>
              <w:t>Grøn</w:t>
            </w:r>
          </w:p>
        </w:tc>
        <w:tc>
          <w:tcPr>
            <w:tcW w:w="993" w:type="dxa"/>
          </w:tcPr>
          <w:p w14:paraId="642F0C14" w14:textId="548D9790" w:rsidR="005C08B2" w:rsidRPr="00A77DEA" w:rsidRDefault="005C08B2" w:rsidP="00A77DEA">
            <w:pPr>
              <w:ind w:left="0" w:firstLine="0"/>
              <w:rPr>
                <w:sz w:val="18"/>
                <w:szCs w:val="18"/>
              </w:rPr>
            </w:pPr>
            <w:r w:rsidRPr="00A77DEA">
              <w:rPr>
                <w:sz w:val="18"/>
                <w:szCs w:val="18"/>
              </w:rPr>
              <w:t xml:space="preserve">Hvert </w:t>
            </w:r>
            <w:r w:rsidR="00733F86">
              <w:rPr>
                <w:sz w:val="18"/>
                <w:szCs w:val="18"/>
              </w:rPr>
              <w:t>3</w:t>
            </w:r>
            <w:r w:rsidRPr="00A77DEA">
              <w:rPr>
                <w:sz w:val="18"/>
                <w:szCs w:val="18"/>
              </w:rPr>
              <w:t>. år</w:t>
            </w:r>
            <w:r w:rsidR="00733F86">
              <w:rPr>
                <w:sz w:val="18"/>
                <w:szCs w:val="18"/>
              </w:rPr>
              <w:t>**</w:t>
            </w:r>
          </w:p>
        </w:tc>
        <w:tc>
          <w:tcPr>
            <w:tcW w:w="1417" w:type="dxa"/>
          </w:tcPr>
          <w:p w14:paraId="7BEF4F67" w14:textId="10082117" w:rsidR="005C08B2" w:rsidRPr="00A77DEA" w:rsidRDefault="00A77DEA" w:rsidP="00A77DEA">
            <w:pPr>
              <w:ind w:left="0" w:firstLine="0"/>
              <w:rPr>
                <w:sz w:val="18"/>
                <w:szCs w:val="18"/>
              </w:rPr>
            </w:pPr>
            <w:r w:rsidRPr="00A77DEA">
              <w:rPr>
                <w:sz w:val="18"/>
                <w:szCs w:val="18"/>
              </w:rPr>
              <w:t>Nej*</w:t>
            </w:r>
          </w:p>
        </w:tc>
        <w:tc>
          <w:tcPr>
            <w:tcW w:w="1843" w:type="dxa"/>
          </w:tcPr>
          <w:p w14:paraId="04883395" w14:textId="77777777" w:rsidR="00A77DEA" w:rsidRPr="00A77DEA" w:rsidRDefault="00A77DEA" w:rsidP="00A77DEA">
            <w:pPr>
              <w:ind w:left="0" w:firstLine="0"/>
              <w:rPr>
                <w:sz w:val="18"/>
                <w:szCs w:val="18"/>
              </w:rPr>
            </w:pPr>
            <w:r w:rsidRPr="00A77DEA">
              <w:rPr>
                <w:sz w:val="18"/>
                <w:szCs w:val="18"/>
              </w:rPr>
              <w:t>Hvis en</w:t>
            </w:r>
          </w:p>
          <w:p w14:paraId="782F8EAD" w14:textId="77777777" w:rsidR="00A77DEA" w:rsidRPr="00A77DEA" w:rsidRDefault="00A77DEA" w:rsidP="00A77DEA">
            <w:pPr>
              <w:ind w:left="0" w:firstLine="0"/>
              <w:rPr>
                <w:sz w:val="18"/>
                <w:szCs w:val="18"/>
              </w:rPr>
            </w:pPr>
            <w:r w:rsidRPr="00A77DEA">
              <w:rPr>
                <w:sz w:val="18"/>
                <w:szCs w:val="18"/>
              </w:rPr>
              <w:t>risikovurdering</w:t>
            </w:r>
          </w:p>
          <w:p w14:paraId="26C61117" w14:textId="538181DA" w:rsidR="005C08B2" w:rsidRPr="00A77DEA" w:rsidRDefault="00A77DEA" w:rsidP="00A77DEA">
            <w:pPr>
              <w:ind w:left="0" w:firstLine="0"/>
              <w:rPr>
                <w:sz w:val="18"/>
                <w:szCs w:val="18"/>
              </w:rPr>
            </w:pPr>
            <w:r w:rsidRPr="00A77DEA">
              <w:rPr>
                <w:sz w:val="18"/>
                <w:szCs w:val="18"/>
              </w:rPr>
              <w:t>siger det.</w:t>
            </w:r>
          </w:p>
        </w:tc>
        <w:tc>
          <w:tcPr>
            <w:tcW w:w="1871" w:type="dxa"/>
          </w:tcPr>
          <w:p w14:paraId="178A5DC6" w14:textId="2960B103" w:rsidR="005C08B2" w:rsidRPr="00A77DEA" w:rsidRDefault="00A77DEA" w:rsidP="00A77DEA">
            <w:pPr>
              <w:ind w:left="0" w:firstLine="0"/>
              <w:rPr>
                <w:sz w:val="18"/>
                <w:szCs w:val="18"/>
              </w:rPr>
            </w:pPr>
            <w:r>
              <w:rPr>
                <w:sz w:val="18"/>
                <w:szCs w:val="18"/>
              </w:rPr>
              <w:t>Ja</w:t>
            </w:r>
          </w:p>
        </w:tc>
      </w:tr>
      <w:tr w:rsidR="00A77DEA" w:rsidRPr="00A77DEA" w14:paraId="7D48D5CE" w14:textId="77777777" w:rsidTr="00A77DEA">
        <w:tc>
          <w:tcPr>
            <w:tcW w:w="2042" w:type="dxa"/>
            <w:vMerge/>
          </w:tcPr>
          <w:p w14:paraId="71CA8CA1" w14:textId="77777777" w:rsidR="005C08B2" w:rsidRPr="00A77DEA" w:rsidRDefault="005C08B2" w:rsidP="00A77DEA">
            <w:pPr>
              <w:ind w:left="0" w:firstLine="0"/>
              <w:rPr>
                <w:sz w:val="18"/>
                <w:szCs w:val="18"/>
              </w:rPr>
            </w:pPr>
          </w:p>
        </w:tc>
        <w:tc>
          <w:tcPr>
            <w:tcW w:w="850" w:type="dxa"/>
          </w:tcPr>
          <w:p w14:paraId="0281DF3F" w14:textId="3759D73E" w:rsidR="005C08B2" w:rsidRPr="00A77DEA" w:rsidRDefault="005C08B2" w:rsidP="00A77DEA">
            <w:pPr>
              <w:ind w:left="0" w:firstLine="0"/>
              <w:rPr>
                <w:sz w:val="18"/>
                <w:szCs w:val="18"/>
              </w:rPr>
            </w:pPr>
            <w:r w:rsidRPr="00A77DEA">
              <w:rPr>
                <w:sz w:val="18"/>
                <w:szCs w:val="18"/>
              </w:rPr>
              <w:t>Gul</w:t>
            </w:r>
          </w:p>
        </w:tc>
        <w:tc>
          <w:tcPr>
            <w:tcW w:w="993" w:type="dxa"/>
          </w:tcPr>
          <w:p w14:paraId="4B5E36F2" w14:textId="0CA341C3" w:rsidR="005C08B2" w:rsidRPr="00A77DEA" w:rsidRDefault="005C08B2" w:rsidP="00A77DEA">
            <w:pPr>
              <w:ind w:left="0" w:firstLine="0"/>
              <w:rPr>
                <w:sz w:val="18"/>
                <w:szCs w:val="18"/>
              </w:rPr>
            </w:pPr>
            <w:r w:rsidRPr="00A77DEA">
              <w:rPr>
                <w:sz w:val="18"/>
                <w:szCs w:val="18"/>
              </w:rPr>
              <w:t>Årlig</w:t>
            </w:r>
          </w:p>
        </w:tc>
        <w:tc>
          <w:tcPr>
            <w:tcW w:w="1417" w:type="dxa"/>
          </w:tcPr>
          <w:p w14:paraId="786ED18E" w14:textId="22EA3065" w:rsidR="005C08B2" w:rsidRPr="00A77DEA" w:rsidRDefault="00A77DEA" w:rsidP="00A77DEA">
            <w:pPr>
              <w:ind w:left="0" w:firstLine="0"/>
              <w:rPr>
                <w:sz w:val="18"/>
                <w:szCs w:val="18"/>
              </w:rPr>
            </w:pPr>
            <w:r w:rsidRPr="00A77DEA">
              <w:rPr>
                <w:sz w:val="18"/>
                <w:szCs w:val="18"/>
              </w:rPr>
              <w:t>Nej*</w:t>
            </w:r>
          </w:p>
        </w:tc>
        <w:tc>
          <w:tcPr>
            <w:tcW w:w="1843" w:type="dxa"/>
          </w:tcPr>
          <w:p w14:paraId="2A5F5D8A" w14:textId="77777777" w:rsidR="00A77DEA" w:rsidRPr="00A77DEA" w:rsidRDefault="00A77DEA" w:rsidP="00A77DEA">
            <w:pPr>
              <w:ind w:left="0" w:firstLine="0"/>
              <w:rPr>
                <w:sz w:val="18"/>
                <w:szCs w:val="18"/>
              </w:rPr>
            </w:pPr>
            <w:r w:rsidRPr="00A77DEA">
              <w:rPr>
                <w:sz w:val="18"/>
                <w:szCs w:val="18"/>
              </w:rPr>
              <w:t>Hvis en</w:t>
            </w:r>
          </w:p>
          <w:p w14:paraId="27944CB4" w14:textId="77777777" w:rsidR="00A77DEA" w:rsidRPr="00A77DEA" w:rsidRDefault="00A77DEA" w:rsidP="00A77DEA">
            <w:pPr>
              <w:ind w:left="0" w:firstLine="0"/>
              <w:rPr>
                <w:sz w:val="18"/>
                <w:szCs w:val="18"/>
              </w:rPr>
            </w:pPr>
            <w:r w:rsidRPr="00A77DEA">
              <w:rPr>
                <w:sz w:val="18"/>
                <w:szCs w:val="18"/>
              </w:rPr>
              <w:t>risikovurdering</w:t>
            </w:r>
          </w:p>
          <w:p w14:paraId="4E6A3E27" w14:textId="7F4F597F" w:rsidR="005C08B2" w:rsidRPr="00A77DEA" w:rsidRDefault="00A77DEA" w:rsidP="00A77DEA">
            <w:pPr>
              <w:ind w:left="0" w:firstLine="0"/>
              <w:rPr>
                <w:sz w:val="18"/>
                <w:szCs w:val="18"/>
              </w:rPr>
            </w:pPr>
            <w:r w:rsidRPr="00A77DEA">
              <w:rPr>
                <w:sz w:val="18"/>
                <w:szCs w:val="18"/>
              </w:rPr>
              <w:t>siger det.</w:t>
            </w:r>
          </w:p>
        </w:tc>
        <w:tc>
          <w:tcPr>
            <w:tcW w:w="1871" w:type="dxa"/>
          </w:tcPr>
          <w:p w14:paraId="5CDF4AE3" w14:textId="53307BCF" w:rsidR="005C08B2" w:rsidRPr="00A77DEA" w:rsidRDefault="00A77DEA" w:rsidP="00A77DEA">
            <w:pPr>
              <w:ind w:left="0" w:firstLine="0"/>
              <w:rPr>
                <w:sz w:val="18"/>
                <w:szCs w:val="18"/>
              </w:rPr>
            </w:pPr>
            <w:r>
              <w:rPr>
                <w:sz w:val="18"/>
                <w:szCs w:val="18"/>
              </w:rPr>
              <w:t>Ja</w:t>
            </w:r>
          </w:p>
        </w:tc>
      </w:tr>
      <w:tr w:rsidR="00A77DEA" w:rsidRPr="00A77DEA" w14:paraId="0D8862FE" w14:textId="77777777" w:rsidTr="00A77DEA">
        <w:tc>
          <w:tcPr>
            <w:tcW w:w="2042" w:type="dxa"/>
            <w:vMerge/>
          </w:tcPr>
          <w:p w14:paraId="5C4597C4" w14:textId="77777777" w:rsidR="005C08B2" w:rsidRPr="00A77DEA" w:rsidRDefault="005C08B2" w:rsidP="00A77DEA">
            <w:pPr>
              <w:ind w:left="0" w:firstLine="0"/>
              <w:rPr>
                <w:sz w:val="18"/>
                <w:szCs w:val="18"/>
              </w:rPr>
            </w:pPr>
          </w:p>
        </w:tc>
        <w:tc>
          <w:tcPr>
            <w:tcW w:w="850" w:type="dxa"/>
          </w:tcPr>
          <w:p w14:paraId="74DC0F65" w14:textId="6E1EA051" w:rsidR="005C08B2" w:rsidRPr="00A77DEA" w:rsidRDefault="005C08B2" w:rsidP="00A77DEA">
            <w:pPr>
              <w:ind w:left="0" w:firstLine="0"/>
              <w:rPr>
                <w:sz w:val="18"/>
                <w:szCs w:val="18"/>
              </w:rPr>
            </w:pPr>
            <w:r w:rsidRPr="00A77DEA">
              <w:rPr>
                <w:sz w:val="18"/>
                <w:szCs w:val="18"/>
              </w:rPr>
              <w:t>Rød</w:t>
            </w:r>
          </w:p>
        </w:tc>
        <w:tc>
          <w:tcPr>
            <w:tcW w:w="993" w:type="dxa"/>
          </w:tcPr>
          <w:p w14:paraId="394783B0" w14:textId="27F93265" w:rsidR="005C08B2" w:rsidRPr="00A77DEA" w:rsidRDefault="005C08B2" w:rsidP="00A77DEA">
            <w:pPr>
              <w:ind w:left="0" w:firstLine="0"/>
              <w:rPr>
                <w:sz w:val="18"/>
                <w:szCs w:val="18"/>
              </w:rPr>
            </w:pPr>
            <w:r w:rsidRPr="00A77DEA">
              <w:rPr>
                <w:sz w:val="18"/>
                <w:szCs w:val="18"/>
              </w:rPr>
              <w:t>halvårligt</w:t>
            </w:r>
          </w:p>
        </w:tc>
        <w:tc>
          <w:tcPr>
            <w:tcW w:w="1417" w:type="dxa"/>
          </w:tcPr>
          <w:p w14:paraId="0793C34B" w14:textId="39150553" w:rsidR="005C08B2" w:rsidRPr="00A77DEA" w:rsidRDefault="00A77DEA" w:rsidP="00A77DEA">
            <w:pPr>
              <w:ind w:left="0" w:firstLine="0"/>
              <w:rPr>
                <w:sz w:val="18"/>
                <w:szCs w:val="18"/>
              </w:rPr>
            </w:pPr>
            <w:r w:rsidRPr="00A77DEA">
              <w:rPr>
                <w:sz w:val="18"/>
                <w:szCs w:val="18"/>
              </w:rPr>
              <w:t>Ja</w:t>
            </w:r>
          </w:p>
        </w:tc>
        <w:tc>
          <w:tcPr>
            <w:tcW w:w="1843" w:type="dxa"/>
          </w:tcPr>
          <w:p w14:paraId="4AB7CB3E" w14:textId="7C7F16BF" w:rsidR="005C08B2" w:rsidRPr="00A77DEA" w:rsidRDefault="00A77DEA" w:rsidP="00A77DEA">
            <w:pPr>
              <w:ind w:left="0" w:firstLine="0"/>
              <w:rPr>
                <w:sz w:val="18"/>
                <w:szCs w:val="18"/>
              </w:rPr>
            </w:pPr>
            <w:r w:rsidRPr="00A77DEA">
              <w:rPr>
                <w:sz w:val="18"/>
                <w:szCs w:val="18"/>
              </w:rPr>
              <w:t>Hvis det ikke er muligt at få revisorerklæring</w:t>
            </w:r>
          </w:p>
        </w:tc>
        <w:tc>
          <w:tcPr>
            <w:tcW w:w="1871" w:type="dxa"/>
          </w:tcPr>
          <w:p w14:paraId="07FCEFCE" w14:textId="4B9D29D2" w:rsidR="005C08B2" w:rsidRPr="00A77DEA" w:rsidRDefault="00A77DEA" w:rsidP="00A77DEA">
            <w:pPr>
              <w:ind w:left="0" w:firstLine="0"/>
              <w:rPr>
                <w:sz w:val="18"/>
                <w:szCs w:val="18"/>
              </w:rPr>
            </w:pPr>
            <w:r w:rsidRPr="00A77DEA">
              <w:rPr>
                <w:sz w:val="18"/>
                <w:szCs w:val="18"/>
              </w:rPr>
              <w:t>Hvis det ikke er muligt at få revisorerklæring</w:t>
            </w:r>
          </w:p>
        </w:tc>
      </w:tr>
    </w:tbl>
    <w:p w14:paraId="4C287199" w14:textId="56FC4AA6" w:rsidR="005C08B2" w:rsidRDefault="00A77DEA" w:rsidP="00B014EF">
      <w:r w:rsidRPr="00A77DEA">
        <w:t>*) Hvis leverandøren selv tilbyder den, så vælg den!</w:t>
      </w:r>
    </w:p>
    <w:p w14:paraId="27C8AC41" w14:textId="21DDB3F1" w:rsidR="00733F86" w:rsidRDefault="00733F86" w:rsidP="00B014EF">
      <w:r>
        <w:t xml:space="preserve">**) Følger anbefalingerne fra </w:t>
      </w:r>
      <w:r w:rsidR="00AC1B16" w:rsidRPr="00AC1B16">
        <w:t>Den Storkøbenhavnske Digitaliseringsforening</w:t>
      </w:r>
      <w:r w:rsidR="00AC1B16">
        <w:t xml:space="preserve"> (</w:t>
      </w:r>
      <w:r>
        <w:t>DSD</w:t>
      </w:r>
      <w:r w:rsidR="00AC1B16">
        <w:t>) som Ishøj Kommune er en del af</w:t>
      </w:r>
    </w:p>
    <w:p w14:paraId="494A08E2" w14:textId="77777777" w:rsidR="005C08B2" w:rsidRPr="00680FD7" w:rsidRDefault="005C08B2" w:rsidP="00B014EF"/>
    <w:p w14:paraId="5057FA30" w14:textId="77777777" w:rsidR="00B014EF" w:rsidRPr="00680FD7" w:rsidRDefault="00B014EF" w:rsidP="00B014EF">
      <w:r w:rsidRPr="00680FD7">
        <w:t>DIGIT kan hjælpe med at vurdere passende frekvens og tilsynsform.</w:t>
      </w:r>
    </w:p>
    <w:p w14:paraId="5A25D5EF" w14:textId="77777777" w:rsidR="00B014EF" w:rsidRPr="00680FD7" w:rsidRDefault="00B014EF" w:rsidP="00B014EF"/>
    <w:p w14:paraId="454CC0CB" w14:textId="77777777" w:rsidR="00B014EF" w:rsidRPr="00680FD7" w:rsidRDefault="00B014EF" w:rsidP="00B014EF"/>
    <w:p w14:paraId="2C8D153F" w14:textId="118B54DA" w:rsidR="00B014EF" w:rsidRPr="00680FD7" w:rsidRDefault="003442D8" w:rsidP="003442D8">
      <w:pPr>
        <w:pStyle w:val="Overskrift1"/>
      </w:pPr>
      <w:bookmarkStart w:id="2" w:name="_Hlk78854539"/>
      <w:r>
        <w:lastRenderedPageBreak/>
        <w:t>Løbende tilsyn med databehandlere</w:t>
      </w:r>
    </w:p>
    <w:bookmarkEnd w:id="2"/>
    <w:p w14:paraId="3B74E223" w14:textId="02797A72" w:rsidR="00B014EF" w:rsidRDefault="00B014EF" w:rsidP="00B014EF">
      <w:r w:rsidRPr="00680FD7">
        <w:t>For nogle Centre er der indgået mange databehandleraftaler med hver deres beslutning om nødvendige proces. For at sikre overblik anbefales det, at der føres et årshjul med alle tilsyn, så overblikket holdes og tidsplanen for tilsyn kan dokumenteres ved besøg af datatilsynet.</w:t>
      </w:r>
    </w:p>
    <w:p w14:paraId="095B06D0" w14:textId="5A4DB725" w:rsidR="00D057AD" w:rsidRDefault="00D057AD" w:rsidP="00B014EF"/>
    <w:p w14:paraId="7277E363" w14:textId="05B5FF34" w:rsidR="00D057AD" w:rsidRPr="00680FD7" w:rsidRDefault="00D057AD" w:rsidP="00B014EF">
      <w:r>
        <w:t xml:space="preserve">KITOS indeholder modulet ”Databehandling” der med fordel kan anvendes til at holde det nødvendige overblik og foretage registreringer. Se retningslinje for IT-registreringspraksis bilag B, som indeholder en oversigt over felter i KITOS modulet ”Databehandling”. </w:t>
      </w:r>
    </w:p>
    <w:p w14:paraId="0E1420CD" w14:textId="77777777" w:rsidR="00B014EF" w:rsidRPr="00680FD7" w:rsidRDefault="00B014EF" w:rsidP="00B014EF"/>
    <w:p w14:paraId="72F5D58C" w14:textId="29DBB53A" w:rsidR="00E90D87" w:rsidRDefault="00B014EF" w:rsidP="00E90D87">
      <w:r w:rsidRPr="00680FD7">
        <w:t>Tilsyn for et kalenderår, skal være afsluttet og dokumenteret inden udgangen af december, så et sammendrag kan komme med i den årlige ledelsesrapportering om informationssikkerhed.</w:t>
      </w:r>
    </w:p>
    <w:p w14:paraId="6CC44E4E" w14:textId="0B945520" w:rsidR="001B7CA0" w:rsidRDefault="001B7CA0" w:rsidP="00E90D87"/>
    <w:p w14:paraId="7FE800F4" w14:textId="6A85B73F" w:rsidR="00D057AD" w:rsidRPr="001B7CA0" w:rsidRDefault="00D057AD" w:rsidP="00F64987">
      <w:pPr>
        <w:spacing w:after="160" w:line="259" w:lineRule="auto"/>
        <w:rPr>
          <w:lang w:eastAsia="da-DK"/>
        </w:rPr>
      </w:pPr>
    </w:p>
    <w:sectPr w:rsidR="00D057AD" w:rsidRPr="001B7CA0" w:rsidSect="00F64987">
      <w:headerReference w:type="default" r:id="rId12"/>
      <w:foot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D8B7" w14:textId="77777777" w:rsidR="00D96F1F" w:rsidRDefault="00D96F1F">
      <w:r>
        <w:separator/>
      </w:r>
    </w:p>
  </w:endnote>
  <w:endnote w:type="continuationSeparator" w:id="0">
    <w:p w14:paraId="5A037DF9" w14:textId="77777777" w:rsidR="00D96F1F" w:rsidRDefault="00D9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738425"/>
      <w:docPartObj>
        <w:docPartGallery w:val="Page Numbers (Bottom of Page)"/>
        <w:docPartUnique/>
      </w:docPartObj>
    </w:sdtPr>
    <w:sdtEndPr/>
    <w:sdtContent>
      <w:p w14:paraId="5878AC5B" w14:textId="438CC5C1" w:rsidR="00901ACC" w:rsidRDefault="00901ACC">
        <w:pPr>
          <w:pStyle w:val="Sidefod"/>
          <w:jc w:val="right"/>
        </w:pPr>
        <w:r>
          <w:fldChar w:fldCharType="begin"/>
        </w:r>
        <w:r>
          <w:instrText>PAGE   \* MERGEFORMAT</w:instrText>
        </w:r>
        <w:r>
          <w:fldChar w:fldCharType="separate"/>
        </w:r>
        <w:r>
          <w:t>2</w:t>
        </w:r>
        <w:r>
          <w:fldChar w:fldCharType="end"/>
        </w:r>
      </w:p>
    </w:sdtContent>
  </w:sdt>
  <w:p w14:paraId="2BF298C8" w14:textId="77777777" w:rsidR="00901ACC" w:rsidRDefault="00901AC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A2427" w14:textId="77777777" w:rsidR="00D96F1F" w:rsidRDefault="00D96F1F">
      <w:r>
        <w:separator/>
      </w:r>
    </w:p>
  </w:footnote>
  <w:footnote w:type="continuationSeparator" w:id="0">
    <w:p w14:paraId="75D2C2D3" w14:textId="77777777" w:rsidR="00D96F1F" w:rsidRDefault="00D9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5D483" w14:textId="77777777" w:rsidR="00560D70" w:rsidRDefault="00CF5F28">
    <w:pPr>
      <w:pStyle w:val="Sidehoved"/>
    </w:pPr>
    <w:r>
      <w:t xml:space="preserve">                     </w:t>
    </w:r>
  </w:p>
  <w:p w14:paraId="09E693E3" w14:textId="77777777" w:rsidR="00560D70" w:rsidRDefault="0090595E">
    <w:pPr>
      <w:pStyle w:val="Sidehoved"/>
    </w:pPr>
  </w:p>
  <w:p w14:paraId="6DC42D53" w14:textId="77777777" w:rsidR="00560D70" w:rsidRPr="00560D70" w:rsidRDefault="0090595E">
    <w:pPr>
      <w:pStyle w:val="Sidehoved"/>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3041" w14:textId="77777777" w:rsidR="00560D70" w:rsidRDefault="00CF5F28">
    <w:pPr>
      <w:pStyle w:val="Sidehoved"/>
    </w:pPr>
    <w:r>
      <w:rPr>
        <w:noProof/>
      </w:rPr>
      <w:drawing>
        <wp:anchor distT="0" distB="0" distL="114300" distR="114300" simplePos="0" relativeHeight="251659264" behindDoc="0" locked="0" layoutInCell="1" allowOverlap="1" wp14:anchorId="39278A0C" wp14:editId="3CE7B71E">
          <wp:simplePos x="0" y="0"/>
          <wp:positionH relativeFrom="column">
            <wp:posOffset>-34290</wp:posOffset>
          </wp:positionH>
          <wp:positionV relativeFrom="paragraph">
            <wp:posOffset>-87630</wp:posOffset>
          </wp:positionV>
          <wp:extent cx="6120130" cy="691515"/>
          <wp:effectExtent l="0" t="0" r="0" b="0"/>
          <wp:wrapNone/>
          <wp:docPr id="7"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farve_brev_juni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1304FA" w14:textId="77777777" w:rsidR="00560D70" w:rsidRDefault="0090595E">
    <w:pPr>
      <w:pStyle w:val="Sidehoved"/>
    </w:pPr>
  </w:p>
  <w:p w14:paraId="69B2E314" w14:textId="77777777" w:rsidR="00560D70" w:rsidRPr="001B4679" w:rsidRDefault="00CF5F28">
    <w:pPr>
      <w:pStyle w:val="Sidehoved"/>
      <w:rPr>
        <w:sz w:val="28"/>
        <w:szCs w:val="28"/>
      </w:rPr>
    </w:pPr>
    <w:r w:rsidRPr="00560D70">
      <w:rPr>
        <w:sz w:val="24"/>
        <w:szCs w:val="24"/>
      </w:rPr>
      <w:t xml:space="preserve">       </w:t>
    </w:r>
    <w:r>
      <w:rPr>
        <w:sz w:val="24"/>
        <w:szCs w:val="24"/>
      </w:rPr>
      <w:t xml:space="preserve"> </w:t>
    </w:r>
    <w:r w:rsidRPr="00560D70">
      <w:rPr>
        <w:sz w:val="24"/>
        <w:szCs w:val="24"/>
      </w:rPr>
      <w:t xml:space="preserve">           </w:t>
    </w:r>
    <w:r w:rsidRPr="001B4679">
      <w:rPr>
        <w:sz w:val="28"/>
        <w:szCs w:val="28"/>
      </w:rPr>
      <w:t>Sikkerhedsgruppen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6A67"/>
    <w:multiLevelType w:val="hybridMultilevel"/>
    <w:tmpl w:val="7FAEB2C8"/>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110850"/>
    <w:multiLevelType w:val="hybridMultilevel"/>
    <w:tmpl w:val="38DE0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D495CB4"/>
    <w:multiLevelType w:val="hybridMultilevel"/>
    <w:tmpl w:val="3A8A38BA"/>
    <w:lvl w:ilvl="0" w:tplc="23886A46">
      <w:numFmt w:val="bullet"/>
      <w:lvlText w:val="•"/>
      <w:lvlJc w:val="left"/>
      <w:pPr>
        <w:ind w:left="720" w:hanging="360"/>
      </w:pPr>
      <w:rPr>
        <w:rFonts w:ascii="ArialMT" w:eastAsiaTheme="minorHAnsi" w:hAnsi="ArialMT" w:cs="ArialMT" w:hint="default"/>
        <w:sz w:val="24"/>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D774A5A"/>
    <w:multiLevelType w:val="hybridMultilevel"/>
    <w:tmpl w:val="3BF0BF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C47024"/>
    <w:multiLevelType w:val="hybridMultilevel"/>
    <w:tmpl w:val="E466CAF6"/>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5" w15:restartNumberingAfterBreak="0">
    <w:nsid w:val="118A036D"/>
    <w:multiLevelType w:val="hybridMultilevel"/>
    <w:tmpl w:val="222446D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6" w15:restartNumberingAfterBreak="0">
    <w:nsid w:val="12DF239C"/>
    <w:multiLevelType w:val="hybridMultilevel"/>
    <w:tmpl w:val="86DE60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504852"/>
    <w:multiLevelType w:val="hybridMultilevel"/>
    <w:tmpl w:val="7BAAB1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747F33"/>
    <w:multiLevelType w:val="hybridMultilevel"/>
    <w:tmpl w:val="4EE401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724DFE"/>
    <w:multiLevelType w:val="hybridMultilevel"/>
    <w:tmpl w:val="AC884B22"/>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0" w15:restartNumberingAfterBreak="0">
    <w:nsid w:val="1D545A45"/>
    <w:multiLevelType w:val="hybridMultilevel"/>
    <w:tmpl w:val="CA525F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E9B5DD0"/>
    <w:multiLevelType w:val="hybridMultilevel"/>
    <w:tmpl w:val="9D32F6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C45F06"/>
    <w:multiLevelType w:val="hybridMultilevel"/>
    <w:tmpl w:val="5334608E"/>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13" w15:restartNumberingAfterBreak="0">
    <w:nsid w:val="29851923"/>
    <w:multiLevelType w:val="hybridMultilevel"/>
    <w:tmpl w:val="366652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C64A26"/>
    <w:multiLevelType w:val="hybridMultilevel"/>
    <w:tmpl w:val="A18638FA"/>
    <w:lvl w:ilvl="0" w:tplc="23886A46">
      <w:numFmt w:val="bullet"/>
      <w:lvlText w:val="•"/>
      <w:lvlJc w:val="left"/>
      <w:pPr>
        <w:ind w:left="1080" w:hanging="360"/>
      </w:pPr>
      <w:rPr>
        <w:rFonts w:ascii="ArialMT" w:eastAsiaTheme="minorHAnsi" w:hAnsi="ArialMT" w:cs="ArialMT" w:hint="default"/>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2A9967CB"/>
    <w:multiLevelType w:val="hybridMultilevel"/>
    <w:tmpl w:val="3BFA7790"/>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0F7215E"/>
    <w:multiLevelType w:val="hybridMultilevel"/>
    <w:tmpl w:val="A81849D6"/>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7F79E3"/>
    <w:multiLevelType w:val="hybridMultilevel"/>
    <w:tmpl w:val="9ADA4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F0D136E"/>
    <w:multiLevelType w:val="hybridMultilevel"/>
    <w:tmpl w:val="2542BD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F96242E"/>
    <w:multiLevelType w:val="hybridMultilevel"/>
    <w:tmpl w:val="7868D316"/>
    <w:lvl w:ilvl="0" w:tplc="23886A46">
      <w:numFmt w:val="bullet"/>
      <w:lvlText w:val="•"/>
      <w:lvlJc w:val="left"/>
      <w:pPr>
        <w:ind w:left="1080" w:hanging="360"/>
      </w:pPr>
      <w:rPr>
        <w:rFonts w:ascii="ArialMT" w:eastAsiaTheme="minorHAnsi" w:hAnsi="ArialMT" w:cs="ArialMT" w:hint="default"/>
        <w:sz w:val="24"/>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1495783"/>
    <w:multiLevelType w:val="hybridMultilevel"/>
    <w:tmpl w:val="90BAC4BC"/>
    <w:lvl w:ilvl="0" w:tplc="1A6E6F60">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1F508D4"/>
    <w:multiLevelType w:val="hybridMultilevel"/>
    <w:tmpl w:val="2354D8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25E5F71"/>
    <w:multiLevelType w:val="hybridMultilevel"/>
    <w:tmpl w:val="762032DC"/>
    <w:lvl w:ilvl="0" w:tplc="6F904516">
      <w:start w:val="1"/>
      <w:numFmt w:val="bullet"/>
      <w:lvlText w:val="•"/>
      <w:lvlJc w:val="left"/>
      <w:pPr>
        <w:tabs>
          <w:tab w:val="num" w:pos="720"/>
        </w:tabs>
        <w:ind w:left="720" w:hanging="360"/>
      </w:pPr>
      <w:rPr>
        <w:rFonts w:ascii="Arial" w:hAnsi="Arial" w:hint="default"/>
      </w:rPr>
    </w:lvl>
    <w:lvl w:ilvl="1" w:tplc="C69A9F9A">
      <w:numFmt w:val="none"/>
      <w:lvlText w:val=""/>
      <w:lvlJc w:val="left"/>
      <w:pPr>
        <w:tabs>
          <w:tab w:val="num" w:pos="360"/>
        </w:tabs>
      </w:pPr>
    </w:lvl>
    <w:lvl w:ilvl="2" w:tplc="53B6FFAC" w:tentative="1">
      <w:start w:val="1"/>
      <w:numFmt w:val="bullet"/>
      <w:lvlText w:val="•"/>
      <w:lvlJc w:val="left"/>
      <w:pPr>
        <w:tabs>
          <w:tab w:val="num" w:pos="2160"/>
        </w:tabs>
        <w:ind w:left="2160" w:hanging="360"/>
      </w:pPr>
      <w:rPr>
        <w:rFonts w:ascii="Arial" w:hAnsi="Arial" w:hint="default"/>
      </w:rPr>
    </w:lvl>
    <w:lvl w:ilvl="3" w:tplc="282A5EA8" w:tentative="1">
      <w:start w:val="1"/>
      <w:numFmt w:val="bullet"/>
      <w:lvlText w:val="•"/>
      <w:lvlJc w:val="left"/>
      <w:pPr>
        <w:tabs>
          <w:tab w:val="num" w:pos="2880"/>
        </w:tabs>
        <w:ind w:left="2880" w:hanging="360"/>
      </w:pPr>
      <w:rPr>
        <w:rFonts w:ascii="Arial" w:hAnsi="Arial" w:hint="default"/>
      </w:rPr>
    </w:lvl>
    <w:lvl w:ilvl="4" w:tplc="AD2604DC" w:tentative="1">
      <w:start w:val="1"/>
      <w:numFmt w:val="bullet"/>
      <w:lvlText w:val="•"/>
      <w:lvlJc w:val="left"/>
      <w:pPr>
        <w:tabs>
          <w:tab w:val="num" w:pos="3600"/>
        </w:tabs>
        <w:ind w:left="3600" w:hanging="360"/>
      </w:pPr>
      <w:rPr>
        <w:rFonts w:ascii="Arial" w:hAnsi="Arial" w:hint="default"/>
      </w:rPr>
    </w:lvl>
    <w:lvl w:ilvl="5" w:tplc="BE765F40" w:tentative="1">
      <w:start w:val="1"/>
      <w:numFmt w:val="bullet"/>
      <w:lvlText w:val="•"/>
      <w:lvlJc w:val="left"/>
      <w:pPr>
        <w:tabs>
          <w:tab w:val="num" w:pos="4320"/>
        </w:tabs>
        <w:ind w:left="4320" w:hanging="360"/>
      </w:pPr>
      <w:rPr>
        <w:rFonts w:ascii="Arial" w:hAnsi="Arial" w:hint="default"/>
      </w:rPr>
    </w:lvl>
    <w:lvl w:ilvl="6" w:tplc="B02CFDFA" w:tentative="1">
      <w:start w:val="1"/>
      <w:numFmt w:val="bullet"/>
      <w:lvlText w:val="•"/>
      <w:lvlJc w:val="left"/>
      <w:pPr>
        <w:tabs>
          <w:tab w:val="num" w:pos="5040"/>
        </w:tabs>
        <w:ind w:left="5040" w:hanging="360"/>
      </w:pPr>
      <w:rPr>
        <w:rFonts w:ascii="Arial" w:hAnsi="Arial" w:hint="default"/>
      </w:rPr>
    </w:lvl>
    <w:lvl w:ilvl="7" w:tplc="E9C4A6A0" w:tentative="1">
      <w:start w:val="1"/>
      <w:numFmt w:val="bullet"/>
      <w:lvlText w:val="•"/>
      <w:lvlJc w:val="left"/>
      <w:pPr>
        <w:tabs>
          <w:tab w:val="num" w:pos="5760"/>
        </w:tabs>
        <w:ind w:left="5760" w:hanging="360"/>
      </w:pPr>
      <w:rPr>
        <w:rFonts w:ascii="Arial" w:hAnsi="Arial" w:hint="default"/>
      </w:rPr>
    </w:lvl>
    <w:lvl w:ilvl="8" w:tplc="BB3095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56486F"/>
    <w:multiLevelType w:val="hybridMultilevel"/>
    <w:tmpl w:val="0D76DB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4D60012"/>
    <w:multiLevelType w:val="hybridMultilevel"/>
    <w:tmpl w:val="E4E484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CBC7B80"/>
    <w:multiLevelType w:val="hybridMultilevel"/>
    <w:tmpl w:val="73C49D14"/>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08A06B5"/>
    <w:multiLevelType w:val="hybridMultilevel"/>
    <w:tmpl w:val="28081BDE"/>
    <w:lvl w:ilvl="0" w:tplc="239470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A24842"/>
    <w:multiLevelType w:val="hybridMultilevel"/>
    <w:tmpl w:val="169CA3B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C3C33DF"/>
    <w:multiLevelType w:val="hybridMultilevel"/>
    <w:tmpl w:val="432A0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6046472"/>
    <w:multiLevelType w:val="hybridMultilevel"/>
    <w:tmpl w:val="7F4C15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7D058DE"/>
    <w:multiLevelType w:val="hybridMultilevel"/>
    <w:tmpl w:val="EC7837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B295004"/>
    <w:multiLevelType w:val="hybridMultilevel"/>
    <w:tmpl w:val="E4DAFF98"/>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902783"/>
    <w:multiLevelType w:val="hybridMultilevel"/>
    <w:tmpl w:val="169CA3B2"/>
    <w:lvl w:ilvl="0" w:tplc="0406000F">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CE25D7B"/>
    <w:multiLevelType w:val="hybridMultilevel"/>
    <w:tmpl w:val="E0C2271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4" w15:restartNumberingAfterBreak="0">
    <w:nsid w:val="6F7B166D"/>
    <w:multiLevelType w:val="hybridMultilevel"/>
    <w:tmpl w:val="34A6546A"/>
    <w:lvl w:ilvl="0" w:tplc="23886A46">
      <w:numFmt w:val="bullet"/>
      <w:lvlText w:val="•"/>
      <w:lvlJc w:val="left"/>
      <w:pPr>
        <w:ind w:left="720" w:hanging="360"/>
      </w:pPr>
      <w:rPr>
        <w:rFonts w:ascii="ArialMT" w:eastAsiaTheme="minorHAnsi" w:hAnsi="ArialMT" w:cs="ArialMT"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0070B1D"/>
    <w:multiLevelType w:val="hybridMultilevel"/>
    <w:tmpl w:val="06B0F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4C27AF9"/>
    <w:multiLevelType w:val="hybridMultilevel"/>
    <w:tmpl w:val="06064E2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272F69"/>
    <w:multiLevelType w:val="hybridMultilevel"/>
    <w:tmpl w:val="2FCC2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8"/>
  </w:num>
  <w:num w:numId="2">
    <w:abstractNumId w:val="36"/>
  </w:num>
  <w:num w:numId="3">
    <w:abstractNumId w:val="0"/>
  </w:num>
  <w:num w:numId="4">
    <w:abstractNumId w:val="2"/>
  </w:num>
  <w:num w:numId="5">
    <w:abstractNumId w:val="34"/>
  </w:num>
  <w:num w:numId="6">
    <w:abstractNumId w:val="1"/>
  </w:num>
  <w:num w:numId="7">
    <w:abstractNumId w:val="21"/>
  </w:num>
  <w:num w:numId="8">
    <w:abstractNumId w:val="33"/>
  </w:num>
  <w:num w:numId="9">
    <w:abstractNumId w:val="22"/>
  </w:num>
  <w:num w:numId="10">
    <w:abstractNumId w:val="17"/>
  </w:num>
  <w:num w:numId="11">
    <w:abstractNumId w:val="29"/>
  </w:num>
  <w:num w:numId="12">
    <w:abstractNumId w:val="23"/>
  </w:num>
  <w:num w:numId="13">
    <w:abstractNumId w:val="35"/>
  </w:num>
  <w:num w:numId="14">
    <w:abstractNumId w:val="7"/>
  </w:num>
  <w:num w:numId="15">
    <w:abstractNumId w:val="18"/>
  </w:num>
  <w:num w:numId="16">
    <w:abstractNumId w:val="24"/>
  </w:num>
  <w:num w:numId="17">
    <w:abstractNumId w:val="10"/>
  </w:num>
  <w:num w:numId="18">
    <w:abstractNumId w:val="15"/>
  </w:num>
  <w:num w:numId="19">
    <w:abstractNumId w:val="26"/>
  </w:num>
  <w:num w:numId="20">
    <w:abstractNumId w:val="16"/>
  </w:num>
  <w:num w:numId="21">
    <w:abstractNumId w:val="20"/>
  </w:num>
  <w:num w:numId="22">
    <w:abstractNumId w:val="27"/>
  </w:num>
  <w:num w:numId="23">
    <w:abstractNumId w:val="3"/>
  </w:num>
  <w:num w:numId="24">
    <w:abstractNumId w:val="13"/>
  </w:num>
  <w:num w:numId="25">
    <w:abstractNumId w:val="8"/>
  </w:num>
  <w:num w:numId="26">
    <w:abstractNumId w:val="5"/>
  </w:num>
  <w:num w:numId="27">
    <w:abstractNumId w:val="9"/>
  </w:num>
  <w:num w:numId="28">
    <w:abstractNumId w:val="12"/>
  </w:num>
  <w:num w:numId="29">
    <w:abstractNumId w:val="11"/>
  </w:num>
  <w:num w:numId="30">
    <w:abstractNumId w:val="4"/>
  </w:num>
  <w:num w:numId="31">
    <w:abstractNumId w:val="6"/>
  </w:num>
  <w:num w:numId="32">
    <w:abstractNumId w:val="37"/>
  </w:num>
  <w:num w:numId="33">
    <w:abstractNumId w:val="30"/>
  </w:num>
  <w:num w:numId="34">
    <w:abstractNumId w:val="19"/>
  </w:num>
  <w:num w:numId="35">
    <w:abstractNumId w:val="14"/>
  </w:num>
  <w:num w:numId="36">
    <w:abstractNumId w:val="25"/>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DE8541"/>
    <w:rsid w:val="00001A36"/>
    <w:rsid w:val="000066D0"/>
    <w:rsid w:val="00017592"/>
    <w:rsid w:val="00021CA2"/>
    <w:rsid w:val="000307B8"/>
    <w:rsid w:val="00036D9F"/>
    <w:rsid w:val="00041664"/>
    <w:rsid w:val="000438EF"/>
    <w:rsid w:val="000451B2"/>
    <w:rsid w:val="00052318"/>
    <w:rsid w:val="00055AC1"/>
    <w:rsid w:val="000572B6"/>
    <w:rsid w:val="00060CB7"/>
    <w:rsid w:val="000823C4"/>
    <w:rsid w:val="0008566F"/>
    <w:rsid w:val="0009637D"/>
    <w:rsid w:val="00097EF6"/>
    <w:rsid w:val="000B7052"/>
    <w:rsid w:val="000C6FD5"/>
    <w:rsid w:val="000E4548"/>
    <w:rsid w:val="000F09E2"/>
    <w:rsid w:val="00101845"/>
    <w:rsid w:val="00104C76"/>
    <w:rsid w:val="001128FE"/>
    <w:rsid w:val="00114ACD"/>
    <w:rsid w:val="0012182F"/>
    <w:rsid w:val="00132B36"/>
    <w:rsid w:val="00135009"/>
    <w:rsid w:val="001612AA"/>
    <w:rsid w:val="00161CA5"/>
    <w:rsid w:val="00162036"/>
    <w:rsid w:val="0016286C"/>
    <w:rsid w:val="001650F9"/>
    <w:rsid w:val="0018119B"/>
    <w:rsid w:val="0018132B"/>
    <w:rsid w:val="00183F9B"/>
    <w:rsid w:val="0018415F"/>
    <w:rsid w:val="001859CB"/>
    <w:rsid w:val="00187218"/>
    <w:rsid w:val="00191CBA"/>
    <w:rsid w:val="001B73C4"/>
    <w:rsid w:val="001B7CA0"/>
    <w:rsid w:val="001C7634"/>
    <w:rsid w:val="001D0DE8"/>
    <w:rsid w:val="001D3597"/>
    <w:rsid w:val="00211AE7"/>
    <w:rsid w:val="00213340"/>
    <w:rsid w:val="00213CDA"/>
    <w:rsid w:val="00221644"/>
    <w:rsid w:val="00223878"/>
    <w:rsid w:val="00224FBC"/>
    <w:rsid w:val="00233A7F"/>
    <w:rsid w:val="002411FA"/>
    <w:rsid w:val="0024644F"/>
    <w:rsid w:val="00247325"/>
    <w:rsid w:val="00247F46"/>
    <w:rsid w:val="002511AD"/>
    <w:rsid w:val="002669EE"/>
    <w:rsid w:val="00274D00"/>
    <w:rsid w:val="002907AA"/>
    <w:rsid w:val="00296172"/>
    <w:rsid w:val="00296E45"/>
    <w:rsid w:val="002A7989"/>
    <w:rsid w:val="002B45CD"/>
    <w:rsid w:val="002B5A56"/>
    <w:rsid w:val="002D21F5"/>
    <w:rsid w:val="002E1493"/>
    <w:rsid w:val="002E2E2F"/>
    <w:rsid w:val="002E3570"/>
    <w:rsid w:val="002F2BA6"/>
    <w:rsid w:val="00303AD7"/>
    <w:rsid w:val="00310C94"/>
    <w:rsid w:val="00311268"/>
    <w:rsid w:val="003215FC"/>
    <w:rsid w:val="003222BC"/>
    <w:rsid w:val="003442D8"/>
    <w:rsid w:val="003630D0"/>
    <w:rsid w:val="00363753"/>
    <w:rsid w:val="003642BD"/>
    <w:rsid w:val="00371665"/>
    <w:rsid w:val="003730C9"/>
    <w:rsid w:val="003775FB"/>
    <w:rsid w:val="00390C15"/>
    <w:rsid w:val="003912E6"/>
    <w:rsid w:val="00391F24"/>
    <w:rsid w:val="00392EFA"/>
    <w:rsid w:val="003961B5"/>
    <w:rsid w:val="00397A8B"/>
    <w:rsid w:val="003B6C11"/>
    <w:rsid w:val="003D274E"/>
    <w:rsid w:val="003D2E53"/>
    <w:rsid w:val="003D50C9"/>
    <w:rsid w:val="003D7A4F"/>
    <w:rsid w:val="003E1399"/>
    <w:rsid w:val="003E724D"/>
    <w:rsid w:val="003F6F9B"/>
    <w:rsid w:val="004236A6"/>
    <w:rsid w:val="0042477B"/>
    <w:rsid w:val="004404FC"/>
    <w:rsid w:val="00451FA0"/>
    <w:rsid w:val="00455DC7"/>
    <w:rsid w:val="004576DD"/>
    <w:rsid w:val="00470BC5"/>
    <w:rsid w:val="00470BF5"/>
    <w:rsid w:val="004730AA"/>
    <w:rsid w:val="00481B90"/>
    <w:rsid w:val="004821FF"/>
    <w:rsid w:val="00493300"/>
    <w:rsid w:val="00496380"/>
    <w:rsid w:val="00496C10"/>
    <w:rsid w:val="004A5011"/>
    <w:rsid w:val="004A5AF1"/>
    <w:rsid w:val="004B11AA"/>
    <w:rsid w:val="004C1E45"/>
    <w:rsid w:val="004C3CA2"/>
    <w:rsid w:val="004C4AC6"/>
    <w:rsid w:val="004D164D"/>
    <w:rsid w:val="004E05FA"/>
    <w:rsid w:val="004E60AA"/>
    <w:rsid w:val="0050366A"/>
    <w:rsid w:val="005057D5"/>
    <w:rsid w:val="005133D7"/>
    <w:rsid w:val="0051780E"/>
    <w:rsid w:val="00522825"/>
    <w:rsid w:val="00530D43"/>
    <w:rsid w:val="005375EA"/>
    <w:rsid w:val="0053770E"/>
    <w:rsid w:val="00546D61"/>
    <w:rsid w:val="0056253B"/>
    <w:rsid w:val="00592375"/>
    <w:rsid w:val="005A12D6"/>
    <w:rsid w:val="005C08B2"/>
    <w:rsid w:val="005C5B93"/>
    <w:rsid w:val="005D1A56"/>
    <w:rsid w:val="005E5047"/>
    <w:rsid w:val="00601301"/>
    <w:rsid w:val="006016EE"/>
    <w:rsid w:val="00602D68"/>
    <w:rsid w:val="00605114"/>
    <w:rsid w:val="00612625"/>
    <w:rsid w:val="006146C3"/>
    <w:rsid w:val="00614899"/>
    <w:rsid w:val="00634599"/>
    <w:rsid w:val="00660064"/>
    <w:rsid w:val="00662E1D"/>
    <w:rsid w:val="00675F7D"/>
    <w:rsid w:val="00677A07"/>
    <w:rsid w:val="00680FD7"/>
    <w:rsid w:val="006934C9"/>
    <w:rsid w:val="006B7F0B"/>
    <w:rsid w:val="006C4B17"/>
    <w:rsid w:val="006E5B99"/>
    <w:rsid w:val="006E6CBC"/>
    <w:rsid w:val="007024C8"/>
    <w:rsid w:val="00710475"/>
    <w:rsid w:val="00711600"/>
    <w:rsid w:val="00717D9C"/>
    <w:rsid w:val="0072182F"/>
    <w:rsid w:val="00733F86"/>
    <w:rsid w:val="00747D31"/>
    <w:rsid w:val="00753E60"/>
    <w:rsid w:val="007620EF"/>
    <w:rsid w:val="00765B82"/>
    <w:rsid w:val="0078177E"/>
    <w:rsid w:val="0078251E"/>
    <w:rsid w:val="00784686"/>
    <w:rsid w:val="00787312"/>
    <w:rsid w:val="007903ED"/>
    <w:rsid w:val="00790F30"/>
    <w:rsid w:val="00792348"/>
    <w:rsid w:val="00793050"/>
    <w:rsid w:val="00796245"/>
    <w:rsid w:val="00797B4D"/>
    <w:rsid w:val="00797F12"/>
    <w:rsid w:val="007A6DB0"/>
    <w:rsid w:val="007C39FC"/>
    <w:rsid w:val="007D5719"/>
    <w:rsid w:val="0080160E"/>
    <w:rsid w:val="00806A4F"/>
    <w:rsid w:val="008077EF"/>
    <w:rsid w:val="00812785"/>
    <w:rsid w:val="00831123"/>
    <w:rsid w:val="0083350B"/>
    <w:rsid w:val="0083400A"/>
    <w:rsid w:val="00834FAF"/>
    <w:rsid w:val="00835BCB"/>
    <w:rsid w:val="00837E92"/>
    <w:rsid w:val="00842AF3"/>
    <w:rsid w:val="008455B3"/>
    <w:rsid w:val="00847385"/>
    <w:rsid w:val="00863AB8"/>
    <w:rsid w:val="0087347F"/>
    <w:rsid w:val="00876FAC"/>
    <w:rsid w:val="00881EA7"/>
    <w:rsid w:val="008862E7"/>
    <w:rsid w:val="00891EAA"/>
    <w:rsid w:val="008970CE"/>
    <w:rsid w:val="008A4DBA"/>
    <w:rsid w:val="008A7685"/>
    <w:rsid w:val="008B0964"/>
    <w:rsid w:val="008B0B5B"/>
    <w:rsid w:val="008C0778"/>
    <w:rsid w:val="008C3CD5"/>
    <w:rsid w:val="008D160E"/>
    <w:rsid w:val="008D50D2"/>
    <w:rsid w:val="008D514F"/>
    <w:rsid w:val="008E1FC3"/>
    <w:rsid w:val="008F7CB9"/>
    <w:rsid w:val="00901ACC"/>
    <w:rsid w:val="0090595E"/>
    <w:rsid w:val="00907B82"/>
    <w:rsid w:val="00911C28"/>
    <w:rsid w:val="00922BEA"/>
    <w:rsid w:val="00933437"/>
    <w:rsid w:val="00934B46"/>
    <w:rsid w:val="009368CA"/>
    <w:rsid w:val="00937209"/>
    <w:rsid w:val="00941A43"/>
    <w:rsid w:val="0094691A"/>
    <w:rsid w:val="00950496"/>
    <w:rsid w:val="00954411"/>
    <w:rsid w:val="00961B5E"/>
    <w:rsid w:val="00962543"/>
    <w:rsid w:val="0096279E"/>
    <w:rsid w:val="00966939"/>
    <w:rsid w:val="009708F9"/>
    <w:rsid w:val="00971231"/>
    <w:rsid w:val="00973D75"/>
    <w:rsid w:val="00995D49"/>
    <w:rsid w:val="00997191"/>
    <w:rsid w:val="009A4D0D"/>
    <w:rsid w:val="009B2346"/>
    <w:rsid w:val="009B352B"/>
    <w:rsid w:val="009B4A18"/>
    <w:rsid w:val="009B657D"/>
    <w:rsid w:val="009C4ADB"/>
    <w:rsid w:val="009C7AF8"/>
    <w:rsid w:val="009D6427"/>
    <w:rsid w:val="009E0850"/>
    <w:rsid w:val="009E4348"/>
    <w:rsid w:val="009F1438"/>
    <w:rsid w:val="009F15D8"/>
    <w:rsid w:val="009F49CA"/>
    <w:rsid w:val="009F743B"/>
    <w:rsid w:val="00A033D8"/>
    <w:rsid w:val="00A137AB"/>
    <w:rsid w:val="00A160AF"/>
    <w:rsid w:val="00A24A6A"/>
    <w:rsid w:val="00A269D3"/>
    <w:rsid w:val="00A4018E"/>
    <w:rsid w:val="00A414C8"/>
    <w:rsid w:val="00A41BF5"/>
    <w:rsid w:val="00A44418"/>
    <w:rsid w:val="00A457F9"/>
    <w:rsid w:val="00A47326"/>
    <w:rsid w:val="00A61703"/>
    <w:rsid w:val="00A62890"/>
    <w:rsid w:val="00A70812"/>
    <w:rsid w:val="00A77CEF"/>
    <w:rsid w:val="00A77DEA"/>
    <w:rsid w:val="00A809C5"/>
    <w:rsid w:val="00A8364D"/>
    <w:rsid w:val="00AA31BF"/>
    <w:rsid w:val="00AA6825"/>
    <w:rsid w:val="00AC1B16"/>
    <w:rsid w:val="00AC31B0"/>
    <w:rsid w:val="00AC51F1"/>
    <w:rsid w:val="00AC66A0"/>
    <w:rsid w:val="00AD0967"/>
    <w:rsid w:val="00AE79CB"/>
    <w:rsid w:val="00AF531C"/>
    <w:rsid w:val="00AF6FAA"/>
    <w:rsid w:val="00B014EF"/>
    <w:rsid w:val="00B06B83"/>
    <w:rsid w:val="00B17F60"/>
    <w:rsid w:val="00B25F71"/>
    <w:rsid w:val="00B32035"/>
    <w:rsid w:val="00B51A5B"/>
    <w:rsid w:val="00B602B0"/>
    <w:rsid w:val="00B60363"/>
    <w:rsid w:val="00B65C24"/>
    <w:rsid w:val="00B7450F"/>
    <w:rsid w:val="00B7611A"/>
    <w:rsid w:val="00B9013C"/>
    <w:rsid w:val="00B91AF0"/>
    <w:rsid w:val="00BA191B"/>
    <w:rsid w:val="00BB1F91"/>
    <w:rsid w:val="00BB29EA"/>
    <w:rsid w:val="00BC3A59"/>
    <w:rsid w:val="00BE08B4"/>
    <w:rsid w:val="00BE16C4"/>
    <w:rsid w:val="00BE5A05"/>
    <w:rsid w:val="00BF0051"/>
    <w:rsid w:val="00BF256D"/>
    <w:rsid w:val="00BF2C03"/>
    <w:rsid w:val="00BF5329"/>
    <w:rsid w:val="00C0738E"/>
    <w:rsid w:val="00C2126E"/>
    <w:rsid w:val="00C76A0B"/>
    <w:rsid w:val="00C8534F"/>
    <w:rsid w:val="00C87D7C"/>
    <w:rsid w:val="00C9175A"/>
    <w:rsid w:val="00C95ED5"/>
    <w:rsid w:val="00C96FCF"/>
    <w:rsid w:val="00C97AED"/>
    <w:rsid w:val="00CA1191"/>
    <w:rsid w:val="00CB609D"/>
    <w:rsid w:val="00CB76EF"/>
    <w:rsid w:val="00CC4245"/>
    <w:rsid w:val="00CC4C49"/>
    <w:rsid w:val="00CD3E90"/>
    <w:rsid w:val="00CE009E"/>
    <w:rsid w:val="00CF5F28"/>
    <w:rsid w:val="00D04BFB"/>
    <w:rsid w:val="00D055A2"/>
    <w:rsid w:val="00D057AD"/>
    <w:rsid w:val="00D06302"/>
    <w:rsid w:val="00D12A0D"/>
    <w:rsid w:val="00D14F02"/>
    <w:rsid w:val="00D15774"/>
    <w:rsid w:val="00D476BE"/>
    <w:rsid w:val="00D501EE"/>
    <w:rsid w:val="00D660E4"/>
    <w:rsid w:val="00D66C38"/>
    <w:rsid w:val="00D67844"/>
    <w:rsid w:val="00D67A16"/>
    <w:rsid w:val="00D81338"/>
    <w:rsid w:val="00D8513F"/>
    <w:rsid w:val="00D96F1F"/>
    <w:rsid w:val="00DA2F10"/>
    <w:rsid w:val="00DA3C0B"/>
    <w:rsid w:val="00DB0447"/>
    <w:rsid w:val="00DB2553"/>
    <w:rsid w:val="00DB2EF5"/>
    <w:rsid w:val="00DC1151"/>
    <w:rsid w:val="00DC7658"/>
    <w:rsid w:val="00DE0367"/>
    <w:rsid w:val="00DF1ABE"/>
    <w:rsid w:val="00E217E3"/>
    <w:rsid w:val="00E25E6B"/>
    <w:rsid w:val="00E268B1"/>
    <w:rsid w:val="00E34CCD"/>
    <w:rsid w:val="00E37124"/>
    <w:rsid w:val="00E37271"/>
    <w:rsid w:val="00E45A18"/>
    <w:rsid w:val="00E500F8"/>
    <w:rsid w:val="00E65958"/>
    <w:rsid w:val="00E83C49"/>
    <w:rsid w:val="00E83F70"/>
    <w:rsid w:val="00E90D87"/>
    <w:rsid w:val="00E918D1"/>
    <w:rsid w:val="00EC32D8"/>
    <w:rsid w:val="00EC3B16"/>
    <w:rsid w:val="00ED0275"/>
    <w:rsid w:val="00ED12BA"/>
    <w:rsid w:val="00ED3620"/>
    <w:rsid w:val="00F134A5"/>
    <w:rsid w:val="00F15678"/>
    <w:rsid w:val="00F22EDC"/>
    <w:rsid w:val="00F31D79"/>
    <w:rsid w:val="00F47BBF"/>
    <w:rsid w:val="00F54EDA"/>
    <w:rsid w:val="00F64987"/>
    <w:rsid w:val="00F67D31"/>
    <w:rsid w:val="00F774B3"/>
    <w:rsid w:val="00F876C3"/>
    <w:rsid w:val="00F928DB"/>
    <w:rsid w:val="00FA3615"/>
    <w:rsid w:val="00FC30A6"/>
    <w:rsid w:val="00FC64D1"/>
    <w:rsid w:val="00FD1F99"/>
    <w:rsid w:val="00FE2A6E"/>
    <w:rsid w:val="00FF2817"/>
    <w:rsid w:val="00FF304B"/>
    <w:rsid w:val="00FF7B4B"/>
    <w:rsid w:val="0B36624C"/>
    <w:rsid w:val="13142B43"/>
    <w:rsid w:val="16720ECC"/>
    <w:rsid w:val="1B1A5441"/>
    <w:rsid w:val="21D7BF9D"/>
    <w:rsid w:val="23B2A954"/>
    <w:rsid w:val="24B70F67"/>
    <w:rsid w:val="27A5C802"/>
    <w:rsid w:val="3024F967"/>
    <w:rsid w:val="31A212C0"/>
    <w:rsid w:val="3D4FAF04"/>
    <w:rsid w:val="3E492088"/>
    <w:rsid w:val="44B7BFE1"/>
    <w:rsid w:val="4954A3E6"/>
    <w:rsid w:val="5044CB81"/>
    <w:rsid w:val="5151E8A7"/>
    <w:rsid w:val="54183635"/>
    <w:rsid w:val="55DE8541"/>
    <w:rsid w:val="56FCE995"/>
    <w:rsid w:val="5FD06AF0"/>
    <w:rsid w:val="6B395C83"/>
    <w:rsid w:val="75EB63B1"/>
    <w:rsid w:val="795BA5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8541"/>
  <w15:chartTrackingRefBased/>
  <w15:docId w15:val="{561D7D8D-F166-4506-8540-DBE11C6C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543"/>
    <w:pPr>
      <w:spacing w:after="0" w:line="240" w:lineRule="auto"/>
    </w:pPr>
  </w:style>
  <w:style w:type="paragraph" w:styleId="Overskrift1">
    <w:name w:val="heading 1"/>
    <w:basedOn w:val="Normal"/>
    <w:next w:val="Normal"/>
    <w:link w:val="Overskrift1Tegn"/>
    <w:uiPriority w:val="9"/>
    <w:qFormat/>
    <w:rsid w:val="008C0778"/>
    <w:pPr>
      <w:outlineLvl w:val="0"/>
    </w:pPr>
    <w:rPr>
      <w:rFonts w:ascii="Arial" w:eastAsia="Times New Roman" w:hAnsi="Arial" w:cs="Arial"/>
      <w:b/>
      <w:bCs/>
      <w:kern w:val="36"/>
      <w:sz w:val="40"/>
      <w:szCs w:val="36"/>
      <w:lang w:eastAsia="da-DK"/>
    </w:rPr>
  </w:style>
  <w:style w:type="paragraph" w:styleId="Overskrift2">
    <w:name w:val="heading 2"/>
    <w:basedOn w:val="Normal"/>
    <w:next w:val="Normal"/>
    <w:link w:val="Overskrift2Tegn"/>
    <w:uiPriority w:val="9"/>
    <w:unhideWhenUsed/>
    <w:qFormat/>
    <w:rsid w:val="008C0778"/>
    <w:pPr>
      <w:outlineLvl w:val="1"/>
    </w:pPr>
    <w:rPr>
      <w:rFonts w:ascii="Arial" w:hAnsi="Arial" w:cs="Arial"/>
      <w:b/>
      <w:bCs/>
      <w:sz w:val="28"/>
      <w:szCs w:val="28"/>
    </w:rPr>
  </w:style>
  <w:style w:type="paragraph" w:styleId="Overskrift3">
    <w:name w:val="heading 3"/>
    <w:basedOn w:val="Normal"/>
    <w:next w:val="Normal"/>
    <w:link w:val="Overskrift3Tegn"/>
    <w:uiPriority w:val="9"/>
    <w:unhideWhenUsed/>
    <w:qFormat/>
    <w:rsid w:val="008C0778"/>
    <w:pPr>
      <w:outlineLvl w:val="2"/>
    </w:pPr>
    <w:rPr>
      <w:rFonts w:ascii="Arial" w:hAnsi="Arial" w:cs="Arial"/>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0438E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38EF"/>
    <w:rPr>
      <w:rFonts w:ascii="Segoe UI" w:hAnsi="Segoe UI" w:cs="Segoe UI"/>
      <w:sz w:val="18"/>
      <w:szCs w:val="18"/>
    </w:rPr>
  </w:style>
  <w:style w:type="paragraph" w:styleId="Titel">
    <w:name w:val="Title"/>
    <w:basedOn w:val="Normal"/>
    <w:next w:val="Normal"/>
    <w:link w:val="TitelTegn"/>
    <w:uiPriority w:val="10"/>
    <w:qFormat/>
    <w:rsid w:val="008C0778"/>
    <w:pPr>
      <w:contextualSpacing/>
    </w:pPr>
    <w:rPr>
      <w:rFonts w:asciiTheme="majorHAnsi" w:eastAsiaTheme="majorEastAsia" w:hAnsiTheme="majorHAnsi" w:cstheme="majorBidi"/>
      <w:b/>
      <w:spacing w:val="-10"/>
      <w:kern w:val="28"/>
      <w:sz w:val="56"/>
      <w:szCs w:val="56"/>
    </w:rPr>
  </w:style>
  <w:style w:type="character" w:customStyle="1" w:styleId="TitelTegn">
    <w:name w:val="Titel Tegn"/>
    <w:basedOn w:val="Standardskrifttypeiafsnit"/>
    <w:link w:val="Titel"/>
    <w:uiPriority w:val="10"/>
    <w:rsid w:val="008C0778"/>
    <w:rPr>
      <w:rFonts w:asciiTheme="majorHAnsi" w:eastAsiaTheme="majorEastAsia" w:hAnsiTheme="majorHAnsi" w:cstheme="majorBidi"/>
      <w:b/>
      <w:spacing w:val="-10"/>
      <w:kern w:val="28"/>
      <w:sz w:val="56"/>
      <w:szCs w:val="56"/>
    </w:rPr>
  </w:style>
  <w:style w:type="character" w:customStyle="1" w:styleId="Overskrift1Tegn">
    <w:name w:val="Overskrift 1 Tegn"/>
    <w:basedOn w:val="Standardskrifttypeiafsnit"/>
    <w:link w:val="Overskrift1"/>
    <w:uiPriority w:val="9"/>
    <w:rsid w:val="008C0778"/>
    <w:rPr>
      <w:rFonts w:ascii="Arial" w:eastAsia="Times New Roman" w:hAnsi="Arial" w:cs="Arial"/>
      <w:b/>
      <w:bCs/>
      <w:kern w:val="36"/>
      <w:sz w:val="40"/>
      <w:szCs w:val="36"/>
      <w:lang w:eastAsia="da-DK"/>
    </w:rPr>
  </w:style>
  <w:style w:type="character" w:customStyle="1" w:styleId="Overskrift2Tegn">
    <w:name w:val="Overskrift 2 Tegn"/>
    <w:basedOn w:val="Standardskrifttypeiafsnit"/>
    <w:link w:val="Overskrift2"/>
    <w:uiPriority w:val="9"/>
    <w:rsid w:val="008C0778"/>
    <w:rPr>
      <w:rFonts w:ascii="Arial" w:hAnsi="Arial" w:cs="Arial"/>
      <w:b/>
      <w:bCs/>
      <w:sz w:val="28"/>
      <w:szCs w:val="28"/>
    </w:rPr>
  </w:style>
  <w:style w:type="character" w:customStyle="1" w:styleId="Overskrift3Tegn">
    <w:name w:val="Overskrift 3 Tegn"/>
    <w:basedOn w:val="Standardskrifttypeiafsnit"/>
    <w:link w:val="Overskrift3"/>
    <w:uiPriority w:val="9"/>
    <w:rsid w:val="008C0778"/>
    <w:rPr>
      <w:rFonts w:ascii="Arial" w:hAnsi="Arial" w:cs="Arial"/>
      <w:b/>
      <w:bCs/>
      <w:sz w:val="24"/>
      <w:szCs w:val="24"/>
    </w:rPr>
  </w:style>
  <w:style w:type="paragraph" w:styleId="Listeafsnit">
    <w:name w:val="List Paragraph"/>
    <w:basedOn w:val="Normal"/>
    <w:uiPriority w:val="34"/>
    <w:qFormat/>
    <w:rsid w:val="00711600"/>
    <w:pPr>
      <w:numPr>
        <w:numId w:val="21"/>
      </w:numPr>
      <w:contextualSpacing/>
    </w:pPr>
  </w:style>
  <w:style w:type="table" w:styleId="Tabel-Gitter">
    <w:name w:val="Table Grid"/>
    <w:basedOn w:val="Tabel-Normal"/>
    <w:uiPriority w:val="39"/>
    <w:rsid w:val="00296E45"/>
    <w:pPr>
      <w:spacing w:after="0" w:line="240" w:lineRule="auto"/>
      <w:ind w:left="318"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296E45"/>
    <w:rPr>
      <w:sz w:val="16"/>
      <w:szCs w:val="16"/>
    </w:rPr>
  </w:style>
  <w:style w:type="character" w:styleId="Hyperlink">
    <w:name w:val="Hyperlink"/>
    <w:basedOn w:val="Standardskrifttypeiafsnit"/>
    <w:uiPriority w:val="99"/>
    <w:unhideWhenUsed/>
    <w:rsid w:val="003D274E"/>
    <w:rPr>
      <w:color w:val="0563C1" w:themeColor="hyperlink"/>
      <w:u w:val="single"/>
    </w:rPr>
  </w:style>
  <w:style w:type="character" w:styleId="Ulstomtale">
    <w:name w:val="Unresolved Mention"/>
    <w:basedOn w:val="Standardskrifttypeiafsnit"/>
    <w:uiPriority w:val="99"/>
    <w:semiHidden/>
    <w:unhideWhenUsed/>
    <w:rsid w:val="003D274E"/>
    <w:rPr>
      <w:color w:val="605E5C"/>
      <w:shd w:val="clear" w:color="auto" w:fill="E1DFDD"/>
    </w:rPr>
  </w:style>
  <w:style w:type="paragraph" w:styleId="Kommentartekst">
    <w:name w:val="annotation text"/>
    <w:basedOn w:val="Normal"/>
    <w:link w:val="KommentartekstTegn"/>
    <w:uiPriority w:val="99"/>
    <w:unhideWhenUsed/>
    <w:rsid w:val="00B014EF"/>
    <w:pPr>
      <w:spacing w:after="200"/>
    </w:pPr>
    <w:rPr>
      <w:sz w:val="20"/>
      <w:szCs w:val="20"/>
    </w:rPr>
  </w:style>
  <w:style w:type="character" w:customStyle="1" w:styleId="KommentartekstTegn">
    <w:name w:val="Kommentartekst Tegn"/>
    <w:basedOn w:val="Standardskrifttypeiafsnit"/>
    <w:link w:val="Kommentartekst"/>
    <w:uiPriority w:val="99"/>
    <w:rsid w:val="00B014EF"/>
    <w:rPr>
      <w:sz w:val="20"/>
      <w:szCs w:val="20"/>
    </w:rPr>
  </w:style>
  <w:style w:type="paragraph" w:styleId="Sidehoved">
    <w:name w:val="header"/>
    <w:basedOn w:val="Normal"/>
    <w:link w:val="SidehovedTegn"/>
    <w:uiPriority w:val="99"/>
    <w:unhideWhenUsed/>
    <w:rsid w:val="00B014EF"/>
    <w:pPr>
      <w:tabs>
        <w:tab w:val="center" w:pos="4819"/>
        <w:tab w:val="right" w:pos="9638"/>
      </w:tabs>
    </w:pPr>
  </w:style>
  <w:style w:type="character" w:customStyle="1" w:styleId="SidehovedTegn">
    <w:name w:val="Sidehoved Tegn"/>
    <w:basedOn w:val="Standardskrifttypeiafsnit"/>
    <w:link w:val="Sidehoved"/>
    <w:uiPriority w:val="99"/>
    <w:rsid w:val="00B014EF"/>
  </w:style>
  <w:style w:type="paragraph" w:styleId="Kommentaremne">
    <w:name w:val="annotation subject"/>
    <w:basedOn w:val="Kommentartekst"/>
    <w:next w:val="Kommentartekst"/>
    <w:link w:val="KommentaremneTegn"/>
    <w:uiPriority w:val="99"/>
    <w:semiHidden/>
    <w:unhideWhenUsed/>
    <w:rsid w:val="004C1E45"/>
    <w:pPr>
      <w:spacing w:after="0"/>
    </w:pPr>
    <w:rPr>
      <w:b/>
      <w:bCs/>
    </w:rPr>
  </w:style>
  <w:style w:type="character" w:customStyle="1" w:styleId="KommentaremneTegn">
    <w:name w:val="Kommentaremne Tegn"/>
    <w:basedOn w:val="KommentartekstTegn"/>
    <w:link w:val="Kommentaremne"/>
    <w:uiPriority w:val="99"/>
    <w:semiHidden/>
    <w:rsid w:val="004C1E45"/>
    <w:rPr>
      <w:b/>
      <w:bCs/>
      <w:sz w:val="20"/>
      <w:szCs w:val="20"/>
    </w:rPr>
  </w:style>
  <w:style w:type="paragraph" w:styleId="NormalWeb">
    <w:name w:val="Normal (Web)"/>
    <w:basedOn w:val="Normal"/>
    <w:uiPriority w:val="99"/>
    <w:semiHidden/>
    <w:unhideWhenUsed/>
    <w:rsid w:val="009E4348"/>
    <w:pPr>
      <w:spacing w:before="100" w:beforeAutospacing="1" w:after="100" w:afterAutospacing="1"/>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901ACC"/>
    <w:pPr>
      <w:tabs>
        <w:tab w:val="center" w:pos="4819"/>
        <w:tab w:val="right" w:pos="9638"/>
      </w:tabs>
    </w:pPr>
  </w:style>
  <w:style w:type="character" w:customStyle="1" w:styleId="SidefodTegn">
    <w:name w:val="Sidefod Tegn"/>
    <w:basedOn w:val="Standardskrifttypeiafsnit"/>
    <w:link w:val="Sidefod"/>
    <w:uiPriority w:val="99"/>
    <w:rsid w:val="0090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8652">
      <w:bodyDiv w:val="1"/>
      <w:marLeft w:val="0"/>
      <w:marRight w:val="0"/>
      <w:marTop w:val="0"/>
      <w:marBottom w:val="0"/>
      <w:divBdr>
        <w:top w:val="none" w:sz="0" w:space="0" w:color="auto"/>
        <w:left w:val="none" w:sz="0" w:space="0" w:color="auto"/>
        <w:bottom w:val="none" w:sz="0" w:space="0" w:color="auto"/>
        <w:right w:val="none" w:sz="0" w:space="0" w:color="auto"/>
      </w:divBdr>
    </w:div>
    <w:div w:id="674576939">
      <w:bodyDiv w:val="1"/>
      <w:marLeft w:val="0"/>
      <w:marRight w:val="0"/>
      <w:marTop w:val="0"/>
      <w:marBottom w:val="0"/>
      <w:divBdr>
        <w:top w:val="none" w:sz="0" w:space="0" w:color="auto"/>
        <w:left w:val="none" w:sz="0" w:space="0" w:color="auto"/>
        <w:bottom w:val="none" w:sz="0" w:space="0" w:color="auto"/>
        <w:right w:val="none" w:sz="0" w:space="0" w:color="auto"/>
      </w:divBdr>
      <w:divsChild>
        <w:div w:id="843780471">
          <w:marLeft w:val="0"/>
          <w:marRight w:val="0"/>
          <w:marTop w:val="0"/>
          <w:marBottom w:val="0"/>
          <w:divBdr>
            <w:top w:val="none" w:sz="0" w:space="0" w:color="auto"/>
            <w:left w:val="none" w:sz="0" w:space="0" w:color="auto"/>
            <w:bottom w:val="none" w:sz="0" w:space="0" w:color="auto"/>
            <w:right w:val="none" w:sz="0" w:space="0" w:color="auto"/>
          </w:divBdr>
          <w:divsChild>
            <w:div w:id="797918848">
              <w:marLeft w:val="0"/>
              <w:marRight w:val="0"/>
              <w:marTop w:val="0"/>
              <w:marBottom w:val="0"/>
              <w:divBdr>
                <w:top w:val="none" w:sz="0" w:space="0" w:color="auto"/>
                <w:left w:val="none" w:sz="0" w:space="0" w:color="auto"/>
                <w:bottom w:val="none" w:sz="0" w:space="0" w:color="auto"/>
                <w:right w:val="none" w:sz="0" w:space="0" w:color="auto"/>
              </w:divBdr>
            </w:div>
          </w:divsChild>
        </w:div>
        <w:div w:id="490559971">
          <w:marLeft w:val="0"/>
          <w:marRight w:val="0"/>
          <w:marTop w:val="0"/>
          <w:marBottom w:val="0"/>
          <w:divBdr>
            <w:top w:val="none" w:sz="0" w:space="0" w:color="auto"/>
            <w:left w:val="none" w:sz="0" w:space="0" w:color="auto"/>
            <w:bottom w:val="none" w:sz="0" w:space="0" w:color="auto"/>
            <w:right w:val="none" w:sz="0" w:space="0" w:color="auto"/>
          </w:divBdr>
          <w:divsChild>
            <w:div w:id="24680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37F67F-BE14-419A-B2DC-D2CE7499D81D}" type="doc">
      <dgm:prSet loTypeId="urn:microsoft.com/office/officeart/2005/8/layout/chevron1" loCatId="process" qsTypeId="urn:microsoft.com/office/officeart/2005/8/quickstyle/simple1" qsCatId="simple" csTypeId="urn:microsoft.com/office/officeart/2005/8/colors/accent1_2" csCatId="accent1" phldr="1"/>
      <dgm:spPr/>
    </dgm:pt>
    <dgm:pt modelId="{52B80E4F-ED1D-4469-99F3-31F7431AD9A7}">
      <dgm:prSet phldrT="[Tekst]"/>
      <dgm:spPr/>
      <dgm:t>
        <a:bodyPr/>
        <a:lstStyle/>
        <a:p>
          <a:r>
            <a:rPr lang="da-DK"/>
            <a:t>Indgåelse af databehandleraftale</a:t>
          </a:r>
        </a:p>
      </dgm:t>
    </dgm:pt>
    <dgm:pt modelId="{F7C47651-6EB7-475D-82B3-01FD43791612}" type="parTrans" cxnId="{0F62602C-86D9-4921-BE76-14B84EE855ED}">
      <dgm:prSet/>
      <dgm:spPr/>
      <dgm:t>
        <a:bodyPr/>
        <a:lstStyle/>
        <a:p>
          <a:endParaRPr lang="da-DK"/>
        </a:p>
      </dgm:t>
    </dgm:pt>
    <dgm:pt modelId="{6E020F31-4406-4F81-AAEA-9831251764B5}" type="sibTrans" cxnId="{0F62602C-86D9-4921-BE76-14B84EE855ED}">
      <dgm:prSet/>
      <dgm:spPr/>
      <dgm:t>
        <a:bodyPr/>
        <a:lstStyle/>
        <a:p>
          <a:endParaRPr lang="da-DK"/>
        </a:p>
      </dgm:t>
    </dgm:pt>
    <dgm:pt modelId="{99845BF8-079A-4905-B4B1-A49A418A601C}">
      <dgm:prSet phldrT="[Tekst]"/>
      <dgm:spPr/>
      <dgm:t>
        <a:bodyPr/>
        <a:lstStyle/>
        <a:p>
          <a:r>
            <a:rPr lang="da-DK"/>
            <a:t>Risikovurdering af databehandler og evt. konskvensanalyse</a:t>
          </a:r>
        </a:p>
      </dgm:t>
    </dgm:pt>
    <dgm:pt modelId="{3C15EAF3-53A8-4612-96F9-FEF8FC0911A0}" type="parTrans" cxnId="{9BC67732-5496-41DE-B299-287E45BB8915}">
      <dgm:prSet/>
      <dgm:spPr/>
      <dgm:t>
        <a:bodyPr/>
        <a:lstStyle/>
        <a:p>
          <a:endParaRPr lang="da-DK"/>
        </a:p>
      </dgm:t>
    </dgm:pt>
    <dgm:pt modelId="{41EC90B5-B703-4C04-8B9B-5C342916E9DF}" type="sibTrans" cxnId="{9BC67732-5496-41DE-B299-287E45BB8915}">
      <dgm:prSet/>
      <dgm:spPr/>
      <dgm:t>
        <a:bodyPr/>
        <a:lstStyle/>
        <a:p>
          <a:endParaRPr lang="da-DK"/>
        </a:p>
      </dgm:t>
    </dgm:pt>
    <dgm:pt modelId="{08692D9F-C991-438D-9353-32283006ADF9}">
      <dgm:prSet phldrT="[Tekst]"/>
      <dgm:spPr>
        <a:solidFill>
          <a:schemeClr val="accent6"/>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da-DK"/>
            <a:t>Struktur for tilsyn med databehandlere</a:t>
          </a:r>
        </a:p>
      </dgm:t>
    </dgm:pt>
    <dgm:pt modelId="{DD34EDE7-4703-4095-9C16-BCE017D758C4}" type="parTrans" cxnId="{61D9A131-A1D6-4841-9096-519CD3BAC5E3}">
      <dgm:prSet/>
      <dgm:spPr/>
      <dgm:t>
        <a:bodyPr/>
        <a:lstStyle/>
        <a:p>
          <a:endParaRPr lang="da-DK"/>
        </a:p>
      </dgm:t>
    </dgm:pt>
    <dgm:pt modelId="{B2A18536-4306-4191-A3F7-B498006FF67A}" type="sibTrans" cxnId="{61D9A131-A1D6-4841-9096-519CD3BAC5E3}">
      <dgm:prSet/>
      <dgm:spPr/>
      <dgm:t>
        <a:bodyPr/>
        <a:lstStyle/>
        <a:p>
          <a:endParaRPr lang="da-DK"/>
        </a:p>
      </dgm:t>
    </dgm:pt>
    <dgm:pt modelId="{08DB4F77-C8E3-4C02-B51F-E7F756EB419D}">
      <dgm:prSet phldrT="[Tekst]">
        <dgm:style>
          <a:lnRef idx="2">
            <a:schemeClr val="accent3">
              <a:shade val="50000"/>
            </a:schemeClr>
          </a:lnRef>
          <a:fillRef idx="1">
            <a:schemeClr val="accent3"/>
          </a:fillRef>
          <a:effectRef idx="0">
            <a:schemeClr val="accent3"/>
          </a:effectRef>
          <a:fontRef idx="minor">
            <a:schemeClr val="lt1"/>
          </a:fontRef>
        </dgm:style>
      </dgm:prSet>
      <dgm:spPr>
        <a:solidFill>
          <a:schemeClr val="accent6"/>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gm:spPr>
      <dgm:t>
        <a:bodyPr/>
        <a:lstStyle/>
        <a:p>
          <a:r>
            <a:rPr lang="da-DK"/>
            <a:t>Løbende tilsyn med databehandlere</a:t>
          </a:r>
        </a:p>
      </dgm:t>
    </dgm:pt>
    <dgm:pt modelId="{C8386DD8-0D2B-49B9-863D-C33972EB4376}" type="parTrans" cxnId="{8A530B30-4464-4C0E-A30F-D145FE97210E}">
      <dgm:prSet/>
      <dgm:spPr/>
      <dgm:t>
        <a:bodyPr/>
        <a:lstStyle/>
        <a:p>
          <a:endParaRPr lang="da-DK"/>
        </a:p>
      </dgm:t>
    </dgm:pt>
    <dgm:pt modelId="{43296486-D311-46B9-A0EB-8EFC5933CE13}" type="sibTrans" cxnId="{8A530B30-4464-4C0E-A30F-D145FE97210E}">
      <dgm:prSet/>
      <dgm:spPr/>
      <dgm:t>
        <a:bodyPr/>
        <a:lstStyle/>
        <a:p>
          <a:endParaRPr lang="da-DK"/>
        </a:p>
      </dgm:t>
    </dgm:pt>
    <dgm:pt modelId="{81A6CCDC-EADA-4872-94DE-BEF4166A40D9}" type="pres">
      <dgm:prSet presAssocID="{3E37F67F-BE14-419A-B2DC-D2CE7499D81D}" presName="Name0" presStyleCnt="0">
        <dgm:presLayoutVars>
          <dgm:dir/>
          <dgm:animLvl val="lvl"/>
          <dgm:resizeHandles val="exact"/>
        </dgm:presLayoutVars>
      </dgm:prSet>
      <dgm:spPr/>
    </dgm:pt>
    <dgm:pt modelId="{7BEE71B8-67F2-4983-9B55-59D0F0F4B89F}" type="pres">
      <dgm:prSet presAssocID="{52B80E4F-ED1D-4469-99F3-31F7431AD9A7}" presName="parTxOnly" presStyleLbl="node1" presStyleIdx="0" presStyleCnt="4">
        <dgm:presLayoutVars>
          <dgm:chMax val="0"/>
          <dgm:chPref val="0"/>
          <dgm:bulletEnabled val="1"/>
        </dgm:presLayoutVars>
      </dgm:prSet>
      <dgm:spPr/>
    </dgm:pt>
    <dgm:pt modelId="{DA62029B-5FFE-40B6-AAD6-FEEE5AE0032B}" type="pres">
      <dgm:prSet presAssocID="{6E020F31-4406-4F81-AAEA-9831251764B5}" presName="parTxOnlySpace" presStyleCnt="0"/>
      <dgm:spPr/>
    </dgm:pt>
    <dgm:pt modelId="{0EECF62D-6FEB-403F-A5EC-7CF78A52EDB2}" type="pres">
      <dgm:prSet presAssocID="{99845BF8-079A-4905-B4B1-A49A418A601C}" presName="parTxOnly" presStyleLbl="node1" presStyleIdx="1" presStyleCnt="4">
        <dgm:presLayoutVars>
          <dgm:chMax val="0"/>
          <dgm:chPref val="0"/>
          <dgm:bulletEnabled val="1"/>
        </dgm:presLayoutVars>
      </dgm:prSet>
      <dgm:spPr/>
    </dgm:pt>
    <dgm:pt modelId="{A4EEF926-02F8-488A-BB4D-74FB87BC157E}" type="pres">
      <dgm:prSet presAssocID="{41EC90B5-B703-4C04-8B9B-5C342916E9DF}" presName="parTxOnlySpace" presStyleCnt="0"/>
      <dgm:spPr/>
    </dgm:pt>
    <dgm:pt modelId="{9661A94C-4856-4F7B-8EA5-68BD51CB5562}" type="pres">
      <dgm:prSet presAssocID="{08692D9F-C991-438D-9353-32283006ADF9}" presName="parTxOnly" presStyleLbl="node1" presStyleIdx="2" presStyleCnt="4">
        <dgm:presLayoutVars>
          <dgm:chMax val="0"/>
          <dgm:chPref val="0"/>
          <dgm:bulletEnabled val="1"/>
        </dgm:presLayoutVars>
      </dgm:prSet>
      <dgm:spPr/>
    </dgm:pt>
    <dgm:pt modelId="{244D2DE0-2893-45AC-8BA8-3B7EA3B2C379}" type="pres">
      <dgm:prSet presAssocID="{B2A18536-4306-4191-A3F7-B498006FF67A}" presName="parTxOnlySpace" presStyleCnt="0"/>
      <dgm:spPr/>
    </dgm:pt>
    <dgm:pt modelId="{A459EC18-2D64-43A7-A4E1-5C82751C3E69}" type="pres">
      <dgm:prSet presAssocID="{08DB4F77-C8E3-4C02-B51F-E7F756EB419D}" presName="parTxOnly" presStyleLbl="node1" presStyleIdx="3" presStyleCnt="4" custScaleX="83419">
        <dgm:presLayoutVars>
          <dgm:chMax val="0"/>
          <dgm:chPref val="0"/>
          <dgm:bulletEnabled val="1"/>
        </dgm:presLayoutVars>
      </dgm:prSet>
      <dgm:spPr>
        <a:prstGeom prst="flowChartConnector">
          <a:avLst/>
        </a:prstGeom>
      </dgm:spPr>
    </dgm:pt>
  </dgm:ptLst>
  <dgm:cxnLst>
    <dgm:cxn modelId="{99D7B710-45AD-4241-A94B-6D63F2455435}" type="presOf" srcId="{99845BF8-079A-4905-B4B1-A49A418A601C}" destId="{0EECF62D-6FEB-403F-A5EC-7CF78A52EDB2}" srcOrd="0" destOrd="0" presId="urn:microsoft.com/office/officeart/2005/8/layout/chevron1"/>
    <dgm:cxn modelId="{0F62602C-86D9-4921-BE76-14B84EE855ED}" srcId="{3E37F67F-BE14-419A-B2DC-D2CE7499D81D}" destId="{52B80E4F-ED1D-4469-99F3-31F7431AD9A7}" srcOrd="0" destOrd="0" parTransId="{F7C47651-6EB7-475D-82B3-01FD43791612}" sibTransId="{6E020F31-4406-4F81-AAEA-9831251764B5}"/>
    <dgm:cxn modelId="{8A530B30-4464-4C0E-A30F-D145FE97210E}" srcId="{3E37F67F-BE14-419A-B2DC-D2CE7499D81D}" destId="{08DB4F77-C8E3-4C02-B51F-E7F756EB419D}" srcOrd="3" destOrd="0" parTransId="{C8386DD8-0D2B-49B9-863D-C33972EB4376}" sibTransId="{43296486-D311-46B9-A0EB-8EFC5933CE13}"/>
    <dgm:cxn modelId="{61D9A131-A1D6-4841-9096-519CD3BAC5E3}" srcId="{3E37F67F-BE14-419A-B2DC-D2CE7499D81D}" destId="{08692D9F-C991-438D-9353-32283006ADF9}" srcOrd="2" destOrd="0" parTransId="{DD34EDE7-4703-4095-9C16-BCE017D758C4}" sibTransId="{B2A18536-4306-4191-A3F7-B498006FF67A}"/>
    <dgm:cxn modelId="{9BC67732-5496-41DE-B299-287E45BB8915}" srcId="{3E37F67F-BE14-419A-B2DC-D2CE7499D81D}" destId="{99845BF8-079A-4905-B4B1-A49A418A601C}" srcOrd="1" destOrd="0" parTransId="{3C15EAF3-53A8-4612-96F9-FEF8FC0911A0}" sibTransId="{41EC90B5-B703-4C04-8B9B-5C342916E9DF}"/>
    <dgm:cxn modelId="{03490C52-A174-4FB5-BB80-74EC6ADE8A95}" type="presOf" srcId="{08692D9F-C991-438D-9353-32283006ADF9}" destId="{9661A94C-4856-4F7B-8EA5-68BD51CB5562}" srcOrd="0" destOrd="0" presId="urn:microsoft.com/office/officeart/2005/8/layout/chevron1"/>
    <dgm:cxn modelId="{3F79427D-C28A-4BA1-BED2-ACAC6C3F8D62}" type="presOf" srcId="{52B80E4F-ED1D-4469-99F3-31F7431AD9A7}" destId="{7BEE71B8-67F2-4983-9B55-59D0F0F4B89F}" srcOrd="0" destOrd="0" presId="urn:microsoft.com/office/officeart/2005/8/layout/chevron1"/>
    <dgm:cxn modelId="{DBCA2BB3-E968-418D-A771-4DF3B8636CB0}" type="presOf" srcId="{08DB4F77-C8E3-4C02-B51F-E7F756EB419D}" destId="{A459EC18-2D64-43A7-A4E1-5C82751C3E69}" srcOrd="0" destOrd="0" presId="urn:microsoft.com/office/officeart/2005/8/layout/chevron1"/>
    <dgm:cxn modelId="{E1E87CC0-1E4F-4369-B310-E829EB14B40B}" type="presOf" srcId="{3E37F67F-BE14-419A-B2DC-D2CE7499D81D}" destId="{81A6CCDC-EADA-4872-94DE-BEF4166A40D9}" srcOrd="0" destOrd="0" presId="urn:microsoft.com/office/officeart/2005/8/layout/chevron1"/>
    <dgm:cxn modelId="{59641505-AAF2-425C-9AD0-6A89141D05C7}" type="presParOf" srcId="{81A6CCDC-EADA-4872-94DE-BEF4166A40D9}" destId="{7BEE71B8-67F2-4983-9B55-59D0F0F4B89F}" srcOrd="0" destOrd="0" presId="urn:microsoft.com/office/officeart/2005/8/layout/chevron1"/>
    <dgm:cxn modelId="{4DAEEE99-DEB3-4483-B87A-A97C82DB0918}" type="presParOf" srcId="{81A6CCDC-EADA-4872-94DE-BEF4166A40D9}" destId="{DA62029B-5FFE-40B6-AAD6-FEEE5AE0032B}" srcOrd="1" destOrd="0" presId="urn:microsoft.com/office/officeart/2005/8/layout/chevron1"/>
    <dgm:cxn modelId="{66AE1D55-E9F3-4AA4-8A90-EF85FB2EE3D6}" type="presParOf" srcId="{81A6CCDC-EADA-4872-94DE-BEF4166A40D9}" destId="{0EECF62D-6FEB-403F-A5EC-7CF78A52EDB2}" srcOrd="2" destOrd="0" presId="urn:microsoft.com/office/officeart/2005/8/layout/chevron1"/>
    <dgm:cxn modelId="{4F2C89BD-1D92-493F-AEA9-A610B3C7312F}" type="presParOf" srcId="{81A6CCDC-EADA-4872-94DE-BEF4166A40D9}" destId="{A4EEF926-02F8-488A-BB4D-74FB87BC157E}" srcOrd="3" destOrd="0" presId="urn:microsoft.com/office/officeart/2005/8/layout/chevron1"/>
    <dgm:cxn modelId="{4541436B-40D8-4ADF-944A-62610B8B49A8}" type="presParOf" srcId="{81A6CCDC-EADA-4872-94DE-BEF4166A40D9}" destId="{9661A94C-4856-4F7B-8EA5-68BD51CB5562}" srcOrd="4" destOrd="0" presId="urn:microsoft.com/office/officeart/2005/8/layout/chevron1"/>
    <dgm:cxn modelId="{A9B7385B-91AE-4F5F-986D-AE2620D845E5}" type="presParOf" srcId="{81A6CCDC-EADA-4872-94DE-BEF4166A40D9}" destId="{244D2DE0-2893-45AC-8BA8-3B7EA3B2C379}" srcOrd="5" destOrd="0" presId="urn:microsoft.com/office/officeart/2005/8/layout/chevron1"/>
    <dgm:cxn modelId="{D5E95962-B29D-4E99-8E55-93ADC250C6C7}" type="presParOf" srcId="{81A6CCDC-EADA-4872-94DE-BEF4166A40D9}" destId="{A459EC18-2D64-43A7-A4E1-5C82751C3E69}" srcOrd="6" destOrd="0" presId="urn:microsoft.com/office/officeart/2005/8/layout/chevro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E71B8-67F2-4983-9B55-59D0F0F4B89F}">
      <dsp:nvSpPr>
        <dsp:cNvPr id="0" name=""/>
        <dsp:cNvSpPr/>
      </dsp:nvSpPr>
      <dsp:spPr>
        <a:xfrm>
          <a:off x="2563" y="0"/>
          <a:ext cx="1742279" cy="62864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Indgåelse af databehandleraftale</a:t>
          </a:r>
        </a:p>
      </dsp:txBody>
      <dsp:txXfrm>
        <a:off x="316888" y="0"/>
        <a:ext cx="1113630" cy="628649"/>
      </dsp:txXfrm>
    </dsp:sp>
    <dsp:sp modelId="{0EECF62D-6FEB-403F-A5EC-7CF78A52EDB2}">
      <dsp:nvSpPr>
        <dsp:cNvPr id="0" name=""/>
        <dsp:cNvSpPr/>
      </dsp:nvSpPr>
      <dsp:spPr>
        <a:xfrm>
          <a:off x="1570615" y="0"/>
          <a:ext cx="1742279" cy="628649"/>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Risikovurdering af databehandler og evt. konskvensanalyse</a:t>
          </a:r>
        </a:p>
      </dsp:txBody>
      <dsp:txXfrm>
        <a:off x="1884940" y="0"/>
        <a:ext cx="1113630" cy="628649"/>
      </dsp:txXfrm>
    </dsp:sp>
    <dsp:sp modelId="{9661A94C-4856-4F7B-8EA5-68BD51CB5562}">
      <dsp:nvSpPr>
        <dsp:cNvPr id="0" name=""/>
        <dsp:cNvSpPr/>
      </dsp:nvSpPr>
      <dsp:spPr>
        <a:xfrm>
          <a:off x="3138667" y="0"/>
          <a:ext cx="1742279" cy="628649"/>
        </a:xfrm>
        <a:prstGeom prst="chevron">
          <a:avLst/>
        </a:prstGeom>
        <a:solidFill>
          <a:schemeClr val="accent6"/>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Struktur for tilsyn med databehandlere</a:t>
          </a:r>
        </a:p>
      </dsp:txBody>
      <dsp:txXfrm>
        <a:off x="3452992" y="0"/>
        <a:ext cx="1113630" cy="628649"/>
      </dsp:txXfrm>
    </dsp:sp>
    <dsp:sp modelId="{A459EC18-2D64-43A7-A4E1-5C82751C3E69}">
      <dsp:nvSpPr>
        <dsp:cNvPr id="0" name=""/>
        <dsp:cNvSpPr/>
      </dsp:nvSpPr>
      <dsp:spPr>
        <a:xfrm>
          <a:off x="4706718" y="0"/>
          <a:ext cx="1453392" cy="628649"/>
        </a:xfrm>
        <a:prstGeom prst="flowChartConnector">
          <a:avLst/>
        </a:prstGeom>
        <a:solidFill>
          <a:schemeClr val="accent6"/>
        </a:solidFill>
        <a:ln w="12700" cap="flat" cmpd="sng" algn="ctr">
          <a:noFill/>
          <a:prstDash val="solid"/>
          <a:miter lim="800000"/>
        </a:ln>
        <a:effectLst>
          <a:outerShdw blurRad="107950" dist="12700" dir="5400000" algn="ctr" rotWithShape="0">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36005" tIns="12002" rIns="12002" bIns="12002" numCol="1" spcCol="1270" anchor="ctr" anchorCtr="0">
          <a:noAutofit/>
        </a:bodyPr>
        <a:lstStyle/>
        <a:p>
          <a:pPr marL="0" lvl="0" indent="0" algn="ctr" defTabSz="400050">
            <a:lnSpc>
              <a:spcPct val="90000"/>
            </a:lnSpc>
            <a:spcBef>
              <a:spcPct val="0"/>
            </a:spcBef>
            <a:spcAft>
              <a:spcPct val="35000"/>
            </a:spcAft>
            <a:buNone/>
          </a:pPr>
          <a:r>
            <a:rPr lang="da-DK" sz="900" kern="1200"/>
            <a:t>Løbende tilsyn med databehandlere</a:t>
          </a:r>
        </a:p>
      </dsp:txBody>
      <dsp:txXfrm>
        <a:off x="4919562" y="92064"/>
        <a:ext cx="1027704" cy="4445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4588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Birthe Sørensen</dc:creator>
  <cp:keywords/>
  <dc:description/>
  <cp:lastModifiedBy>Ali Abdulovski</cp:lastModifiedBy>
  <cp:revision>4</cp:revision>
  <dcterms:created xsi:type="dcterms:W3CDTF">2021-10-19T09:00:00Z</dcterms:created>
  <dcterms:modified xsi:type="dcterms:W3CDTF">2021-11-10T12:01:00Z</dcterms:modified>
</cp:coreProperties>
</file>